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057" w:rsidRDefault="00FC6057">
      <w:bookmarkStart w:id="0" w:name="_Hlk69605114"/>
      <w:bookmarkEnd w:id="0"/>
    </w:p>
    <w:p w:rsidR="00343852" w:rsidRDefault="00343852"/>
    <w:p w:rsidR="00343852" w:rsidRDefault="00343852"/>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662"/>
        <w:gridCol w:w="1077"/>
      </w:tblGrid>
      <w:tr w:rsidR="00560529" w:rsidRPr="004E038A" w:rsidTr="0005795F">
        <w:tc>
          <w:tcPr>
            <w:tcW w:w="1271" w:type="dxa"/>
          </w:tcPr>
          <w:p w:rsidR="00343852" w:rsidRPr="004E038A" w:rsidRDefault="00343852">
            <w:pPr>
              <w:rPr>
                <w:color w:val="000361"/>
              </w:rPr>
            </w:pPr>
          </w:p>
        </w:tc>
        <w:tc>
          <w:tcPr>
            <w:tcW w:w="6662" w:type="dxa"/>
          </w:tcPr>
          <w:p w:rsidR="004B1C42" w:rsidRPr="004E038A" w:rsidRDefault="00E107FF" w:rsidP="00343852">
            <w:pPr>
              <w:jc w:val="center"/>
              <w:rPr>
                <w:rFonts w:ascii="Arial" w:hAnsi="Arial" w:cs="Arial"/>
                <w:color w:val="000361"/>
                <w:sz w:val="48"/>
                <w:szCs w:val="48"/>
              </w:rPr>
            </w:pPr>
            <w:r w:rsidRPr="004E038A">
              <w:rPr>
                <w:rFonts w:ascii="Arial" w:hAnsi="Arial" w:cs="Arial"/>
                <w:noProof/>
                <w:color w:val="000361"/>
                <w:sz w:val="48"/>
                <w:szCs w:val="48"/>
              </w:rPr>
              <w:drawing>
                <wp:inline distT="0" distB="0" distL="0" distR="0">
                  <wp:extent cx="1521229" cy="1526013"/>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1-02-18 a les 11.59.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4332" cy="1599346"/>
                          </a:xfrm>
                          <a:prstGeom prst="rect">
                            <a:avLst/>
                          </a:prstGeom>
                        </pic:spPr>
                      </pic:pic>
                    </a:graphicData>
                  </a:graphic>
                </wp:inline>
              </w:drawing>
            </w:r>
          </w:p>
          <w:p w:rsidR="004B1C42" w:rsidRPr="004E038A" w:rsidRDefault="004B1C42" w:rsidP="00343852">
            <w:pPr>
              <w:jc w:val="center"/>
              <w:rPr>
                <w:rFonts w:ascii="Arial" w:hAnsi="Arial" w:cs="Arial"/>
                <w:color w:val="000361"/>
                <w:sz w:val="48"/>
                <w:szCs w:val="48"/>
              </w:rPr>
            </w:pPr>
          </w:p>
          <w:p w:rsidR="000827D7" w:rsidRPr="004E038A" w:rsidRDefault="00343852" w:rsidP="0005795F">
            <w:pPr>
              <w:jc w:val="center"/>
              <w:rPr>
                <w:rFonts w:ascii="Arial" w:hAnsi="Arial" w:cs="Arial"/>
                <w:color w:val="000361"/>
                <w:sz w:val="48"/>
                <w:szCs w:val="48"/>
              </w:rPr>
            </w:pPr>
            <w:r w:rsidRPr="004E038A">
              <w:rPr>
                <w:rFonts w:ascii="Arial" w:hAnsi="Arial" w:cs="Arial"/>
                <w:color w:val="000361"/>
                <w:sz w:val="48"/>
                <w:szCs w:val="48"/>
              </w:rPr>
              <w:t xml:space="preserve">Anàlisi econòmic i financer dels </w:t>
            </w:r>
            <w:r w:rsidRPr="004E038A">
              <w:rPr>
                <w:rFonts w:ascii="Arial" w:hAnsi="Arial" w:cs="Arial"/>
                <w:b/>
                <w:color w:val="000361"/>
                <w:sz w:val="48"/>
                <w:szCs w:val="48"/>
              </w:rPr>
              <w:t xml:space="preserve">Laboratoris </w:t>
            </w:r>
            <w:r w:rsidR="00E107FF" w:rsidRPr="004E038A">
              <w:rPr>
                <w:rFonts w:ascii="Arial" w:hAnsi="Arial" w:cs="Arial"/>
                <w:b/>
                <w:color w:val="000361"/>
                <w:sz w:val="48"/>
                <w:szCs w:val="48"/>
              </w:rPr>
              <w:t>Hipra S.A.</w:t>
            </w:r>
          </w:p>
          <w:p w:rsidR="004B1C42" w:rsidRPr="004E038A" w:rsidRDefault="004B1C42" w:rsidP="00343852">
            <w:pPr>
              <w:jc w:val="center"/>
              <w:rPr>
                <w:rFonts w:ascii="Arial" w:hAnsi="Arial" w:cs="Arial"/>
                <w:color w:val="000361"/>
                <w:sz w:val="48"/>
                <w:szCs w:val="48"/>
              </w:rPr>
            </w:pPr>
          </w:p>
          <w:p w:rsidR="00343852" w:rsidRPr="0005795F" w:rsidRDefault="00343852" w:rsidP="0005795F">
            <w:pPr>
              <w:jc w:val="center"/>
              <w:rPr>
                <w:rFonts w:ascii="Arial" w:hAnsi="Arial" w:cs="Arial"/>
                <w:color w:val="000361"/>
                <w:sz w:val="40"/>
                <w:szCs w:val="40"/>
              </w:rPr>
            </w:pPr>
          </w:p>
        </w:tc>
        <w:tc>
          <w:tcPr>
            <w:tcW w:w="1077" w:type="dxa"/>
          </w:tcPr>
          <w:p w:rsidR="00343852" w:rsidRPr="004E038A" w:rsidRDefault="00343852">
            <w:pPr>
              <w:rPr>
                <w:color w:val="000361"/>
              </w:rPr>
            </w:pPr>
          </w:p>
        </w:tc>
      </w:tr>
      <w:tr w:rsidR="0005795F" w:rsidRPr="004E038A" w:rsidTr="0005795F">
        <w:tc>
          <w:tcPr>
            <w:tcW w:w="9010" w:type="dxa"/>
            <w:gridSpan w:val="3"/>
          </w:tcPr>
          <w:p w:rsidR="0005795F" w:rsidRDefault="0005795F" w:rsidP="0005795F">
            <w:pPr>
              <w:jc w:val="both"/>
              <w:rPr>
                <w:rFonts w:ascii="Arial" w:hAnsi="Arial" w:cs="Arial"/>
                <w:color w:val="000361"/>
                <w:sz w:val="40"/>
                <w:szCs w:val="40"/>
              </w:rPr>
            </w:pPr>
            <w:r w:rsidRPr="004E038A">
              <w:rPr>
                <w:rFonts w:ascii="Arial" w:hAnsi="Arial" w:cs="Arial"/>
                <w:color w:val="000361"/>
                <w:sz w:val="40"/>
                <w:szCs w:val="40"/>
              </w:rPr>
              <w:t>Quin</w:t>
            </w:r>
            <w:r>
              <w:rPr>
                <w:rFonts w:ascii="Arial" w:hAnsi="Arial" w:cs="Arial"/>
                <w:color w:val="000361"/>
                <w:sz w:val="40"/>
                <w:szCs w:val="40"/>
              </w:rPr>
              <w:t>a estratègia ha seguit H</w:t>
            </w:r>
            <w:r w:rsidR="00D51D8D">
              <w:rPr>
                <w:rFonts w:ascii="Arial" w:hAnsi="Arial" w:cs="Arial"/>
                <w:color w:val="000361"/>
                <w:sz w:val="40"/>
                <w:szCs w:val="40"/>
              </w:rPr>
              <w:t>ipra</w:t>
            </w:r>
            <w:r>
              <w:rPr>
                <w:rFonts w:ascii="Arial" w:hAnsi="Arial" w:cs="Arial"/>
                <w:color w:val="000361"/>
                <w:sz w:val="40"/>
                <w:szCs w:val="40"/>
              </w:rPr>
              <w:t xml:space="preserve"> per esdevenir una empresa rellevant en el seu sector?</w:t>
            </w:r>
          </w:p>
          <w:p w:rsidR="0005795F" w:rsidRDefault="0005795F" w:rsidP="0005795F">
            <w:pPr>
              <w:jc w:val="both"/>
              <w:rPr>
                <w:color w:val="000361"/>
              </w:rPr>
            </w:pPr>
          </w:p>
          <w:p w:rsidR="00313686" w:rsidRDefault="00313686" w:rsidP="0005795F">
            <w:pPr>
              <w:jc w:val="both"/>
              <w:rPr>
                <w:color w:val="000361"/>
              </w:rPr>
            </w:pPr>
          </w:p>
          <w:p w:rsidR="00313686" w:rsidRDefault="00313686" w:rsidP="0005795F">
            <w:pPr>
              <w:jc w:val="both"/>
              <w:rPr>
                <w:color w:val="000361"/>
              </w:rPr>
            </w:pPr>
          </w:p>
          <w:p w:rsidR="00313686" w:rsidRDefault="00313686" w:rsidP="0005795F">
            <w:pPr>
              <w:jc w:val="both"/>
              <w:rPr>
                <w:color w:val="000361"/>
              </w:rPr>
            </w:pPr>
          </w:p>
          <w:p w:rsidR="00313686" w:rsidRDefault="00313686" w:rsidP="0005795F">
            <w:pPr>
              <w:jc w:val="both"/>
              <w:rPr>
                <w:color w:val="000361"/>
              </w:rPr>
            </w:pPr>
          </w:p>
          <w:p w:rsidR="00313686" w:rsidRPr="004E038A" w:rsidRDefault="00313686" w:rsidP="0005795F">
            <w:pPr>
              <w:jc w:val="both"/>
              <w:rPr>
                <w:color w:val="000361"/>
              </w:rPr>
            </w:pPr>
          </w:p>
        </w:tc>
      </w:tr>
    </w:tbl>
    <w:p w:rsidR="00343852" w:rsidRDefault="00343852">
      <w:pPr>
        <w:rPr>
          <w:color w:val="000361"/>
        </w:rPr>
      </w:pPr>
    </w:p>
    <w:p w:rsidR="0005795F" w:rsidRPr="004E038A" w:rsidRDefault="0005795F">
      <w:pPr>
        <w:rPr>
          <w:color w:val="00036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3003"/>
      </w:tblGrid>
      <w:tr w:rsidR="0005795F" w:rsidRPr="004E038A" w:rsidTr="0005795F">
        <w:tc>
          <w:tcPr>
            <w:tcW w:w="4877" w:type="dxa"/>
          </w:tcPr>
          <w:p w:rsidR="0005795F" w:rsidRPr="004E038A" w:rsidRDefault="0005795F" w:rsidP="00560529">
            <w:pPr>
              <w:rPr>
                <w:color w:val="000361"/>
              </w:rPr>
            </w:pPr>
            <w:r w:rsidRPr="004E038A">
              <w:rPr>
                <w:color w:val="000361"/>
              </w:rPr>
              <w:t>Jordi Costa Montagut</w:t>
            </w:r>
          </w:p>
        </w:tc>
        <w:tc>
          <w:tcPr>
            <w:tcW w:w="3003" w:type="dxa"/>
          </w:tcPr>
          <w:p w:rsidR="0005795F" w:rsidRPr="004E038A" w:rsidRDefault="0005795F" w:rsidP="00560529">
            <w:pPr>
              <w:rPr>
                <w:color w:val="000361"/>
              </w:rPr>
            </w:pPr>
          </w:p>
        </w:tc>
      </w:tr>
      <w:tr w:rsidR="0005795F" w:rsidRPr="004E038A" w:rsidTr="0005795F">
        <w:tc>
          <w:tcPr>
            <w:tcW w:w="4877" w:type="dxa"/>
          </w:tcPr>
          <w:p w:rsidR="0005795F" w:rsidRPr="004E038A" w:rsidRDefault="0005795F" w:rsidP="00560529">
            <w:pPr>
              <w:rPr>
                <w:color w:val="000361"/>
              </w:rPr>
            </w:pPr>
          </w:p>
        </w:tc>
        <w:tc>
          <w:tcPr>
            <w:tcW w:w="3003" w:type="dxa"/>
          </w:tcPr>
          <w:p w:rsidR="0005795F" w:rsidRPr="004E038A" w:rsidRDefault="0005795F" w:rsidP="00560529">
            <w:pPr>
              <w:rPr>
                <w:color w:val="000361"/>
              </w:rPr>
            </w:pPr>
          </w:p>
        </w:tc>
      </w:tr>
      <w:tr w:rsidR="0005795F" w:rsidRPr="004E038A" w:rsidTr="0005795F">
        <w:tc>
          <w:tcPr>
            <w:tcW w:w="4877" w:type="dxa"/>
          </w:tcPr>
          <w:p w:rsidR="0005795F" w:rsidRPr="004E038A" w:rsidRDefault="000F5648" w:rsidP="00560529">
            <w:pPr>
              <w:rPr>
                <w:color w:val="000361"/>
              </w:rPr>
            </w:pPr>
            <w:hyperlink r:id="rId9" w:history="1">
              <w:r w:rsidR="0005795F" w:rsidRPr="004E038A">
                <w:rPr>
                  <w:rStyle w:val="Hipervnculo"/>
                  <w:color w:val="000361"/>
                </w:rPr>
                <w:t>jcostamont@uoc.edu</w:t>
              </w:r>
            </w:hyperlink>
          </w:p>
        </w:tc>
        <w:tc>
          <w:tcPr>
            <w:tcW w:w="3003" w:type="dxa"/>
          </w:tcPr>
          <w:p w:rsidR="0005795F" w:rsidRPr="004E038A" w:rsidRDefault="0005795F" w:rsidP="00560529">
            <w:pPr>
              <w:rPr>
                <w:color w:val="000361"/>
              </w:rPr>
            </w:pPr>
          </w:p>
        </w:tc>
      </w:tr>
      <w:tr w:rsidR="0005795F" w:rsidRPr="004E038A" w:rsidTr="0005795F">
        <w:tc>
          <w:tcPr>
            <w:tcW w:w="4877" w:type="dxa"/>
          </w:tcPr>
          <w:p w:rsidR="0005795F" w:rsidRPr="004E038A" w:rsidRDefault="0005795F" w:rsidP="00560529">
            <w:pPr>
              <w:rPr>
                <w:color w:val="000361"/>
              </w:rPr>
            </w:pPr>
          </w:p>
        </w:tc>
        <w:tc>
          <w:tcPr>
            <w:tcW w:w="3003" w:type="dxa"/>
          </w:tcPr>
          <w:p w:rsidR="0005795F" w:rsidRPr="004E038A" w:rsidRDefault="0005795F" w:rsidP="00560529">
            <w:pPr>
              <w:rPr>
                <w:color w:val="000361"/>
              </w:rPr>
            </w:pPr>
          </w:p>
        </w:tc>
      </w:tr>
      <w:tr w:rsidR="0005795F" w:rsidRPr="004E038A" w:rsidTr="0005795F">
        <w:tc>
          <w:tcPr>
            <w:tcW w:w="4877" w:type="dxa"/>
          </w:tcPr>
          <w:p w:rsidR="0005795F" w:rsidRPr="004E038A" w:rsidRDefault="00D018A7" w:rsidP="00560529">
            <w:pPr>
              <w:rPr>
                <w:color w:val="000361"/>
              </w:rPr>
            </w:pPr>
            <w:r>
              <w:rPr>
                <w:color w:val="000361"/>
              </w:rPr>
              <w:t>30</w:t>
            </w:r>
            <w:r w:rsidR="0005795F" w:rsidRPr="004E038A">
              <w:rPr>
                <w:color w:val="000361"/>
              </w:rPr>
              <w:t xml:space="preserve"> de </w:t>
            </w:r>
            <w:r>
              <w:rPr>
                <w:color w:val="000361"/>
              </w:rPr>
              <w:t>maig</w:t>
            </w:r>
            <w:r w:rsidR="0005795F" w:rsidRPr="004E038A">
              <w:rPr>
                <w:color w:val="000361"/>
              </w:rPr>
              <w:t xml:space="preserve"> de 2021</w:t>
            </w:r>
          </w:p>
        </w:tc>
        <w:tc>
          <w:tcPr>
            <w:tcW w:w="3003" w:type="dxa"/>
          </w:tcPr>
          <w:p w:rsidR="0005795F" w:rsidRPr="004E038A" w:rsidRDefault="0005795F" w:rsidP="00560529">
            <w:pPr>
              <w:rPr>
                <w:color w:val="000361"/>
              </w:rPr>
            </w:pPr>
          </w:p>
        </w:tc>
      </w:tr>
    </w:tbl>
    <w:p w:rsidR="00240440" w:rsidRDefault="00240440" w:rsidP="00240440">
      <w:pPr>
        <w:rPr>
          <w:color w:val="000361"/>
        </w:rPr>
      </w:pPr>
    </w:p>
    <w:p w:rsidR="0005795F" w:rsidRDefault="0005795F" w:rsidP="00240440">
      <w:pPr>
        <w:rPr>
          <w:color w:val="000361"/>
        </w:rPr>
      </w:pPr>
    </w:p>
    <w:p w:rsidR="0005795F" w:rsidRPr="004E038A" w:rsidRDefault="0005795F" w:rsidP="00240440">
      <w:pPr>
        <w:rPr>
          <w:color w:val="00036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240440" w:rsidRPr="004E038A" w:rsidTr="00240440">
        <w:tc>
          <w:tcPr>
            <w:tcW w:w="3003" w:type="dxa"/>
          </w:tcPr>
          <w:p w:rsidR="00240440" w:rsidRPr="004E038A" w:rsidRDefault="00240440" w:rsidP="00240440">
            <w:pPr>
              <w:rPr>
                <w:color w:val="000361"/>
              </w:rPr>
            </w:pPr>
            <w:r w:rsidRPr="004E038A">
              <w:rPr>
                <w:color w:val="000361"/>
              </w:rPr>
              <w:t>Treball de final de grau</w:t>
            </w:r>
          </w:p>
        </w:tc>
        <w:tc>
          <w:tcPr>
            <w:tcW w:w="3003" w:type="dxa"/>
          </w:tcPr>
          <w:p w:rsidR="00240440" w:rsidRPr="004E038A" w:rsidRDefault="00240440" w:rsidP="00240440">
            <w:pPr>
              <w:rPr>
                <w:color w:val="000361"/>
              </w:rPr>
            </w:pPr>
          </w:p>
        </w:tc>
        <w:tc>
          <w:tcPr>
            <w:tcW w:w="3004" w:type="dxa"/>
          </w:tcPr>
          <w:p w:rsidR="00240440" w:rsidRPr="004E038A" w:rsidRDefault="00240440" w:rsidP="00240440">
            <w:pPr>
              <w:rPr>
                <w:color w:val="000361"/>
              </w:rPr>
            </w:pPr>
          </w:p>
        </w:tc>
      </w:tr>
      <w:tr w:rsidR="00240440" w:rsidRPr="004E038A" w:rsidTr="00240440">
        <w:tc>
          <w:tcPr>
            <w:tcW w:w="3003" w:type="dxa"/>
          </w:tcPr>
          <w:p w:rsidR="00240440" w:rsidRPr="004E038A" w:rsidRDefault="00240440" w:rsidP="00240440">
            <w:pPr>
              <w:rPr>
                <w:color w:val="000361"/>
              </w:rPr>
            </w:pPr>
          </w:p>
        </w:tc>
        <w:tc>
          <w:tcPr>
            <w:tcW w:w="3003" w:type="dxa"/>
          </w:tcPr>
          <w:p w:rsidR="00240440" w:rsidRPr="004E038A" w:rsidRDefault="00240440" w:rsidP="00240440">
            <w:pPr>
              <w:rPr>
                <w:color w:val="000361"/>
              </w:rPr>
            </w:pPr>
          </w:p>
        </w:tc>
        <w:tc>
          <w:tcPr>
            <w:tcW w:w="3004" w:type="dxa"/>
          </w:tcPr>
          <w:p w:rsidR="00240440" w:rsidRPr="004E038A" w:rsidRDefault="00240440" w:rsidP="00240440">
            <w:pPr>
              <w:rPr>
                <w:color w:val="000361"/>
              </w:rPr>
            </w:pPr>
          </w:p>
        </w:tc>
      </w:tr>
      <w:tr w:rsidR="00240440" w:rsidRPr="004E038A" w:rsidTr="00240440">
        <w:tc>
          <w:tcPr>
            <w:tcW w:w="3003" w:type="dxa"/>
          </w:tcPr>
          <w:p w:rsidR="00240440" w:rsidRPr="004E038A" w:rsidRDefault="00240440" w:rsidP="00240440">
            <w:pPr>
              <w:rPr>
                <w:color w:val="000361"/>
              </w:rPr>
            </w:pPr>
            <w:r w:rsidRPr="004E038A">
              <w:rPr>
                <w:color w:val="000361"/>
              </w:rPr>
              <w:t xml:space="preserve">Àmbit especialització : </w:t>
            </w:r>
          </w:p>
        </w:tc>
        <w:tc>
          <w:tcPr>
            <w:tcW w:w="6007" w:type="dxa"/>
            <w:gridSpan w:val="2"/>
          </w:tcPr>
          <w:p w:rsidR="00240440" w:rsidRPr="004E038A" w:rsidRDefault="00240440" w:rsidP="00240440">
            <w:pPr>
              <w:rPr>
                <w:color w:val="000361"/>
              </w:rPr>
            </w:pPr>
            <w:r w:rsidRPr="004E038A">
              <w:rPr>
                <w:color w:val="000361"/>
              </w:rPr>
              <w:t>Presa de Decisions i Anàlisi Economicofinancer</w:t>
            </w:r>
          </w:p>
        </w:tc>
      </w:tr>
      <w:tr w:rsidR="00240440" w:rsidRPr="004E038A" w:rsidTr="00240440">
        <w:tc>
          <w:tcPr>
            <w:tcW w:w="3003" w:type="dxa"/>
          </w:tcPr>
          <w:p w:rsidR="00240440" w:rsidRPr="004E038A" w:rsidRDefault="00240440" w:rsidP="00240440">
            <w:pPr>
              <w:rPr>
                <w:color w:val="000361"/>
              </w:rPr>
            </w:pPr>
          </w:p>
        </w:tc>
        <w:tc>
          <w:tcPr>
            <w:tcW w:w="3003" w:type="dxa"/>
          </w:tcPr>
          <w:p w:rsidR="00240440" w:rsidRPr="004E038A" w:rsidRDefault="00240440" w:rsidP="00240440">
            <w:pPr>
              <w:rPr>
                <w:color w:val="000361"/>
              </w:rPr>
            </w:pPr>
          </w:p>
        </w:tc>
        <w:tc>
          <w:tcPr>
            <w:tcW w:w="3004" w:type="dxa"/>
          </w:tcPr>
          <w:p w:rsidR="00240440" w:rsidRPr="004E038A" w:rsidRDefault="00240440" w:rsidP="00240440">
            <w:pPr>
              <w:rPr>
                <w:color w:val="000361"/>
              </w:rPr>
            </w:pPr>
          </w:p>
        </w:tc>
      </w:tr>
      <w:tr w:rsidR="00240440" w:rsidRPr="004E038A" w:rsidTr="00240440">
        <w:tc>
          <w:tcPr>
            <w:tcW w:w="3003" w:type="dxa"/>
          </w:tcPr>
          <w:p w:rsidR="00240440" w:rsidRPr="004E038A" w:rsidRDefault="00240440" w:rsidP="00240440">
            <w:pPr>
              <w:rPr>
                <w:color w:val="000361"/>
              </w:rPr>
            </w:pPr>
          </w:p>
        </w:tc>
        <w:tc>
          <w:tcPr>
            <w:tcW w:w="3003" w:type="dxa"/>
          </w:tcPr>
          <w:p w:rsidR="00240440" w:rsidRPr="004E038A" w:rsidRDefault="00240440" w:rsidP="00240440">
            <w:pPr>
              <w:jc w:val="center"/>
              <w:rPr>
                <w:color w:val="000361"/>
              </w:rPr>
            </w:pPr>
            <w:r w:rsidRPr="004E038A">
              <w:rPr>
                <w:color w:val="000361"/>
              </w:rPr>
              <w:t>Memòria final</w:t>
            </w:r>
          </w:p>
        </w:tc>
        <w:tc>
          <w:tcPr>
            <w:tcW w:w="3004" w:type="dxa"/>
          </w:tcPr>
          <w:p w:rsidR="00240440" w:rsidRPr="004E038A" w:rsidRDefault="00240440" w:rsidP="00240440">
            <w:pPr>
              <w:rPr>
                <w:color w:val="000361"/>
              </w:rPr>
            </w:pPr>
          </w:p>
        </w:tc>
      </w:tr>
    </w:tbl>
    <w:p w:rsidR="00240440" w:rsidRPr="004E038A" w:rsidRDefault="00240440" w:rsidP="00240440">
      <w:pPr>
        <w:rPr>
          <w:color w:val="000361"/>
        </w:rPr>
      </w:pPr>
    </w:p>
    <w:p w:rsidR="00240440" w:rsidRPr="004E038A" w:rsidRDefault="00240440" w:rsidP="00240440">
      <w:pPr>
        <w:rPr>
          <w:color w:val="000361"/>
        </w:rPr>
      </w:pPr>
    </w:p>
    <w:p w:rsidR="00240440" w:rsidRPr="004E038A" w:rsidRDefault="00240440" w:rsidP="00240440">
      <w:pPr>
        <w:rPr>
          <w:color w:val="000361"/>
        </w:rPr>
      </w:pPr>
    </w:p>
    <w:p w:rsidR="005E5C1F" w:rsidRPr="004E038A" w:rsidRDefault="005E5C1F" w:rsidP="00240440">
      <w:pPr>
        <w:rPr>
          <w:color w:val="000361"/>
        </w:rPr>
        <w:sectPr w:rsidR="005E5C1F" w:rsidRPr="004E038A" w:rsidSect="005423F8">
          <w:headerReference w:type="default" r:id="rId10"/>
          <w:footerReference w:type="even" r:id="rId11"/>
          <w:footerReference w:type="default" r:id="rId12"/>
          <w:pgSz w:w="11900" w:h="16840"/>
          <w:pgMar w:top="1440" w:right="1440" w:bottom="1440" w:left="1440" w:header="708" w:footer="708" w:gutter="0"/>
          <w:cols w:space="708"/>
          <w:docGrid w:linePitch="360"/>
        </w:sectPr>
      </w:pPr>
    </w:p>
    <w:p w:rsidR="00240440" w:rsidRPr="004E038A" w:rsidRDefault="00240440" w:rsidP="00240440">
      <w:pPr>
        <w:rPr>
          <w:color w:val="000361"/>
        </w:rPr>
      </w:pPr>
    </w:p>
    <w:p w:rsidR="00287570" w:rsidRPr="004E038A" w:rsidRDefault="00287570" w:rsidP="00240440">
      <w:pPr>
        <w:rPr>
          <w:rFonts w:ascii="Arial" w:hAnsi="Arial" w:cs="Arial"/>
          <w:b/>
          <w:color w:val="000361"/>
          <w:sz w:val="20"/>
          <w:szCs w:val="20"/>
        </w:rPr>
      </w:pPr>
      <w:r w:rsidRPr="004E038A">
        <w:rPr>
          <w:rFonts w:ascii="Arial" w:hAnsi="Arial" w:cs="Arial"/>
          <w:b/>
          <w:color w:val="000361"/>
          <w:sz w:val="20"/>
          <w:szCs w:val="20"/>
        </w:rPr>
        <w:t>Í</w:t>
      </w:r>
      <w:r w:rsidR="008E6902" w:rsidRPr="004E038A">
        <w:rPr>
          <w:rFonts w:ascii="Arial" w:hAnsi="Arial" w:cs="Arial"/>
          <w:b/>
          <w:color w:val="000361"/>
          <w:sz w:val="20"/>
          <w:szCs w:val="20"/>
        </w:rPr>
        <w:t>NDEX</w:t>
      </w:r>
    </w:p>
    <w:p w:rsidR="00287570" w:rsidRPr="004E038A" w:rsidRDefault="00287570" w:rsidP="00240440">
      <w:pPr>
        <w:rPr>
          <w:rFonts w:ascii="Arial" w:hAnsi="Arial" w:cs="Arial"/>
          <w:color w:val="000361"/>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2"/>
        <w:gridCol w:w="7658"/>
        <w:gridCol w:w="469"/>
      </w:tblGrid>
      <w:tr w:rsidR="00287570" w:rsidRPr="004E038A" w:rsidTr="00B2588E">
        <w:trPr>
          <w:trHeight w:val="567"/>
        </w:trPr>
        <w:tc>
          <w:tcPr>
            <w:tcW w:w="8500" w:type="dxa"/>
            <w:gridSpan w:val="2"/>
          </w:tcPr>
          <w:p w:rsidR="00287570" w:rsidRPr="004E038A" w:rsidRDefault="00287570" w:rsidP="00240440">
            <w:pPr>
              <w:rPr>
                <w:rFonts w:ascii="Arial" w:hAnsi="Arial" w:cs="Arial"/>
                <w:color w:val="000361"/>
                <w:sz w:val="20"/>
                <w:szCs w:val="20"/>
              </w:rPr>
            </w:pPr>
            <w:r w:rsidRPr="004E038A">
              <w:rPr>
                <w:rFonts w:ascii="Arial" w:hAnsi="Arial" w:cs="Arial"/>
                <w:color w:val="000361"/>
                <w:sz w:val="20"/>
                <w:szCs w:val="20"/>
              </w:rPr>
              <w:t>Resum</w:t>
            </w:r>
            <w:r w:rsidR="00720283" w:rsidRPr="004E038A">
              <w:rPr>
                <w:rFonts w:ascii="Arial" w:hAnsi="Arial" w:cs="Arial"/>
                <w:color w:val="000361"/>
                <w:sz w:val="20"/>
                <w:szCs w:val="20"/>
              </w:rPr>
              <w:t xml:space="preserve">  ...........</w:t>
            </w:r>
            <w:r w:rsidR="008E6902" w:rsidRPr="004E038A">
              <w:rPr>
                <w:rFonts w:ascii="Arial" w:hAnsi="Arial" w:cs="Arial"/>
                <w:color w:val="000361"/>
                <w:sz w:val="20"/>
                <w:szCs w:val="20"/>
              </w:rPr>
              <w:t>...........</w:t>
            </w:r>
            <w:r w:rsidR="00720283" w:rsidRPr="004E038A">
              <w:rPr>
                <w:rFonts w:ascii="Arial" w:hAnsi="Arial" w:cs="Arial"/>
                <w:color w:val="000361"/>
                <w:sz w:val="20"/>
                <w:szCs w:val="20"/>
              </w:rPr>
              <w:t>..............................................................................................................</w:t>
            </w:r>
            <w:r w:rsidR="00706475" w:rsidRPr="004E038A">
              <w:rPr>
                <w:rFonts w:ascii="Arial" w:hAnsi="Arial" w:cs="Arial"/>
                <w:color w:val="000361"/>
                <w:sz w:val="20"/>
                <w:szCs w:val="20"/>
              </w:rPr>
              <w:t>...</w:t>
            </w:r>
          </w:p>
        </w:tc>
        <w:tc>
          <w:tcPr>
            <w:tcW w:w="469" w:type="dxa"/>
          </w:tcPr>
          <w:p w:rsidR="00287570" w:rsidRPr="004E038A" w:rsidRDefault="00720283" w:rsidP="00287570">
            <w:pPr>
              <w:jc w:val="right"/>
              <w:rPr>
                <w:rFonts w:ascii="Arial" w:hAnsi="Arial" w:cs="Arial"/>
                <w:color w:val="000361"/>
                <w:sz w:val="20"/>
                <w:szCs w:val="20"/>
              </w:rPr>
            </w:pPr>
            <w:r w:rsidRPr="004E038A">
              <w:rPr>
                <w:rFonts w:ascii="Arial" w:hAnsi="Arial" w:cs="Arial"/>
                <w:color w:val="000361"/>
                <w:sz w:val="20"/>
                <w:szCs w:val="20"/>
              </w:rPr>
              <w:t>5</w:t>
            </w:r>
          </w:p>
        </w:tc>
      </w:tr>
      <w:tr w:rsidR="00287570" w:rsidRPr="004E038A" w:rsidTr="00B2588E">
        <w:trPr>
          <w:trHeight w:val="567"/>
        </w:trPr>
        <w:tc>
          <w:tcPr>
            <w:tcW w:w="8500" w:type="dxa"/>
            <w:gridSpan w:val="2"/>
          </w:tcPr>
          <w:p w:rsidR="00287570" w:rsidRPr="004E038A" w:rsidRDefault="00287570" w:rsidP="00240440">
            <w:pPr>
              <w:rPr>
                <w:rFonts w:ascii="Arial" w:hAnsi="Arial" w:cs="Arial"/>
                <w:color w:val="000361"/>
                <w:sz w:val="20"/>
                <w:szCs w:val="20"/>
              </w:rPr>
            </w:pPr>
            <w:r w:rsidRPr="004E038A">
              <w:rPr>
                <w:rFonts w:ascii="Arial" w:hAnsi="Arial" w:cs="Arial"/>
                <w:color w:val="000361"/>
                <w:sz w:val="20"/>
                <w:szCs w:val="20"/>
              </w:rPr>
              <w:t>Abstract</w:t>
            </w:r>
            <w:r w:rsidR="00720283" w:rsidRPr="004E038A">
              <w:rPr>
                <w:rFonts w:ascii="Arial" w:hAnsi="Arial" w:cs="Arial"/>
                <w:color w:val="000361"/>
                <w:sz w:val="20"/>
                <w:szCs w:val="20"/>
              </w:rPr>
              <w:t xml:space="preserve"> .....................</w:t>
            </w:r>
            <w:r w:rsidR="008E6902" w:rsidRPr="004E038A">
              <w:rPr>
                <w:rFonts w:ascii="Arial" w:hAnsi="Arial" w:cs="Arial"/>
                <w:color w:val="000361"/>
                <w:sz w:val="20"/>
                <w:szCs w:val="20"/>
              </w:rPr>
              <w:t>............</w:t>
            </w:r>
            <w:r w:rsidR="00720283" w:rsidRPr="004E038A">
              <w:rPr>
                <w:rFonts w:ascii="Arial" w:hAnsi="Arial" w:cs="Arial"/>
                <w:color w:val="000361"/>
                <w:sz w:val="20"/>
                <w:szCs w:val="20"/>
              </w:rPr>
              <w:t>..................................................................................................</w:t>
            </w:r>
            <w:r w:rsidR="00706475" w:rsidRPr="004E038A">
              <w:rPr>
                <w:rFonts w:ascii="Arial" w:hAnsi="Arial" w:cs="Arial"/>
                <w:color w:val="000361"/>
                <w:sz w:val="20"/>
                <w:szCs w:val="20"/>
              </w:rPr>
              <w:t>...</w:t>
            </w:r>
          </w:p>
        </w:tc>
        <w:tc>
          <w:tcPr>
            <w:tcW w:w="469" w:type="dxa"/>
          </w:tcPr>
          <w:p w:rsidR="00287570" w:rsidRPr="004E038A" w:rsidRDefault="00775233" w:rsidP="00287570">
            <w:pPr>
              <w:jc w:val="right"/>
              <w:rPr>
                <w:rFonts w:ascii="Arial" w:hAnsi="Arial" w:cs="Arial"/>
                <w:color w:val="000361"/>
                <w:sz w:val="20"/>
                <w:szCs w:val="20"/>
              </w:rPr>
            </w:pPr>
            <w:r>
              <w:rPr>
                <w:rFonts w:ascii="Arial" w:hAnsi="Arial" w:cs="Arial"/>
                <w:color w:val="000361"/>
                <w:sz w:val="20"/>
                <w:szCs w:val="20"/>
              </w:rPr>
              <w:t>6</w:t>
            </w:r>
          </w:p>
        </w:tc>
      </w:tr>
      <w:tr w:rsidR="004E038A" w:rsidRPr="004E038A" w:rsidTr="00B2588E">
        <w:trPr>
          <w:trHeight w:val="567"/>
        </w:trPr>
        <w:tc>
          <w:tcPr>
            <w:tcW w:w="8500" w:type="dxa"/>
            <w:gridSpan w:val="2"/>
          </w:tcPr>
          <w:p w:rsidR="00BA67AD" w:rsidRPr="004E038A" w:rsidRDefault="00BA67AD" w:rsidP="00BA67AD">
            <w:pPr>
              <w:rPr>
                <w:rFonts w:ascii="Arial" w:hAnsi="Arial" w:cs="Arial"/>
                <w:color w:val="000361"/>
                <w:sz w:val="20"/>
                <w:szCs w:val="20"/>
              </w:rPr>
            </w:pPr>
            <w:r w:rsidRPr="004E038A">
              <w:rPr>
                <w:rFonts w:ascii="Arial" w:hAnsi="Arial" w:cs="Arial"/>
                <w:color w:val="000361"/>
                <w:sz w:val="20"/>
                <w:szCs w:val="20"/>
              </w:rPr>
              <w:t>Introducció ..................................................................................................................................</w:t>
            </w:r>
          </w:p>
        </w:tc>
        <w:tc>
          <w:tcPr>
            <w:tcW w:w="469" w:type="dxa"/>
          </w:tcPr>
          <w:p w:rsidR="00BA67AD" w:rsidRPr="004E038A" w:rsidRDefault="00775233" w:rsidP="00BA67AD">
            <w:pPr>
              <w:jc w:val="right"/>
              <w:rPr>
                <w:rFonts w:ascii="Arial" w:hAnsi="Arial" w:cs="Arial"/>
                <w:color w:val="000361"/>
                <w:sz w:val="20"/>
                <w:szCs w:val="20"/>
              </w:rPr>
            </w:pPr>
            <w:r>
              <w:rPr>
                <w:rFonts w:ascii="Arial" w:hAnsi="Arial" w:cs="Arial"/>
                <w:color w:val="000361"/>
                <w:sz w:val="20"/>
                <w:szCs w:val="20"/>
              </w:rPr>
              <w:t>7</w:t>
            </w:r>
          </w:p>
        </w:tc>
      </w:tr>
      <w:tr w:rsidR="00A01550" w:rsidRPr="004E038A" w:rsidTr="00B2588E">
        <w:trPr>
          <w:trHeight w:val="567"/>
        </w:trPr>
        <w:tc>
          <w:tcPr>
            <w:tcW w:w="8500" w:type="dxa"/>
            <w:gridSpan w:val="2"/>
          </w:tcPr>
          <w:p w:rsidR="00A01550" w:rsidRPr="004E038A" w:rsidRDefault="00A01550" w:rsidP="00A01550">
            <w:pPr>
              <w:rPr>
                <w:rFonts w:ascii="Arial" w:hAnsi="Arial" w:cs="Arial"/>
                <w:color w:val="000361"/>
                <w:sz w:val="20"/>
                <w:szCs w:val="20"/>
              </w:rPr>
            </w:pPr>
            <w:r w:rsidRPr="004E038A">
              <w:rPr>
                <w:rFonts w:ascii="Arial" w:hAnsi="Arial" w:cs="Arial"/>
                <w:color w:val="000361"/>
                <w:sz w:val="20"/>
                <w:szCs w:val="20"/>
              </w:rPr>
              <w:t>Justificació .............................</w:t>
            </w:r>
            <w:r w:rsidR="008E6902" w:rsidRPr="004E038A">
              <w:rPr>
                <w:rFonts w:ascii="Arial" w:hAnsi="Arial" w:cs="Arial"/>
                <w:color w:val="000361"/>
                <w:sz w:val="20"/>
                <w:szCs w:val="20"/>
              </w:rPr>
              <w:t>.............</w:t>
            </w:r>
            <w:r w:rsidRPr="004E038A">
              <w:rPr>
                <w:rFonts w:ascii="Arial" w:hAnsi="Arial" w:cs="Arial"/>
                <w:color w:val="000361"/>
                <w:sz w:val="20"/>
                <w:szCs w:val="20"/>
              </w:rPr>
              <w:t>........................................................................................</w:t>
            </w:r>
          </w:p>
        </w:tc>
        <w:tc>
          <w:tcPr>
            <w:tcW w:w="469" w:type="dxa"/>
          </w:tcPr>
          <w:p w:rsidR="00A01550" w:rsidRPr="004E038A" w:rsidRDefault="00775233" w:rsidP="00A01550">
            <w:pPr>
              <w:jc w:val="right"/>
              <w:rPr>
                <w:rFonts w:ascii="Arial" w:hAnsi="Arial" w:cs="Arial"/>
                <w:color w:val="000361"/>
                <w:sz w:val="20"/>
                <w:szCs w:val="20"/>
              </w:rPr>
            </w:pPr>
            <w:r>
              <w:rPr>
                <w:rFonts w:ascii="Arial" w:hAnsi="Arial" w:cs="Arial"/>
                <w:color w:val="000361"/>
                <w:sz w:val="20"/>
                <w:szCs w:val="20"/>
              </w:rPr>
              <w:t>7</w:t>
            </w:r>
          </w:p>
        </w:tc>
      </w:tr>
      <w:tr w:rsidR="00A01550" w:rsidRPr="004E038A" w:rsidTr="00B2588E">
        <w:trPr>
          <w:trHeight w:val="567"/>
        </w:trPr>
        <w:tc>
          <w:tcPr>
            <w:tcW w:w="8500" w:type="dxa"/>
            <w:gridSpan w:val="2"/>
          </w:tcPr>
          <w:p w:rsidR="00A01550" w:rsidRPr="004E038A" w:rsidRDefault="00A01550" w:rsidP="00A01550">
            <w:pPr>
              <w:rPr>
                <w:rFonts w:ascii="Arial" w:hAnsi="Arial" w:cs="Arial"/>
                <w:color w:val="000361"/>
                <w:sz w:val="20"/>
                <w:szCs w:val="20"/>
              </w:rPr>
            </w:pPr>
            <w:r w:rsidRPr="004E038A">
              <w:rPr>
                <w:rFonts w:ascii="Arial" w:hAnsi="Arial" w:cs="Arial"/>
                <w:color w:val="000361"/>
                <w:sz w:val="20"/>
                <w:szCs w:val="20"/>
              </w:rPr>
              <w:t xml:space="preserve">Objectiu </w:t>
            </w:r>
            <w:r w:rsidR="00FF513B" w:rsidRPr="004E038A">
              <w:rPr>
                <w:rFonts w:ascii="Arial" w:hAnsi="Arial" w:cs="Arial"/>
                <w:color w:val="000361"/>
                <w:sz w:val="20"/>
                <w:szCs w:val="20"/>
              </w:rPr>
              <w:t xml:space="preserve">i abast </w:t>
            </w:r>
            <w:r w:rsidRPr="004E038A">
              <w:rPr>
                <w:rFonts w:ascii="Arial" w:hAnsi="Arial" w:cs="Arial"/>
                <w:color w:val="000361"/>
                <w:sz w:val="20"/>
                <w:szCs w:val="20"/>
              </w:rPr>
              <w:t>de l’informe ...............</w:t>
            </w:r>
            <w:r w:rsidR="008E6902" w:rsidRPr="004E038A">
              <w:rPr>
                <w:rFonts w:ascii="Arial" w:hAnsi="Arial" w:cs="Arial"/>
                <w:color w:val="000361"/>
                <w:sz w:val="20"/>
                <w:szCs w:val="20"/>
              </w:rPr>
              <w:t>..............</w:t>
            </w:r>
            <w:r w:rsidRPr="004E038A">
              <w:rPr>
                <w:rFonts w:ascii="Arial" w:hAnsi="Arial" w:cs="Arial"/>
                <w:color w:val="000361"/>
                <w:sz w:val="20"/>
                <w:szCs w:val="20"/>
              </w:rPr>
              <w:t>..........................................................................</w:t>
            </w:r>
          </w:p>
          <w:p w:rsidR="00A01550" w:rsidRPr="004E038A" w:rsidRDefault="00A01550" w:rsidP="00A01550">
            <w:pPr>
              <w:rPr>
                <w:rFonts w:ascii="Arial" w:hAnsi="Arial" w:cs="Arial"/>
                <w:color w:val="000361"/>
                <w:sz w:val="20"/>
                <w:szCs w:val="20"/>
              </w:rPr>
            </w:pPr>
          </w:p>
        </w:tc>
        <w:tc>
          <w:tcPr>
            <w:tcW w:w="469" w:type="dxa"/>
          </w:tcPr>
          <w:p w:rsidR="00A01550" w:rsidRPr="004E038A" w:rsidRDefault="00775233" w:rsidP="00A01550">
            <w:pPr>
              <w:jc w:val="right"/>
              <w:rPr>
                <w:rFonts w:ascii="Arial" w:hAnsi="Arial" w:cs="Arial"/>
                <w:color w:val="000361"/>
                <w:sz w:val="20"/>
                <w:szCs w:val="20"/>
              </w:rPr>
            </w:pPr>
            <w:r>
              <w:rPr>
                <w:rFonts w:ascii="Arial" w:hAnsi="Arial" w:cs="Arial"/>
                <w:color w:val="000361"/>
                <w:sz w:val="20"/>
                <w:szCs w:val="20"/>
              </w:rPr>
              <w:t>8</w:t>
            </w:r>
          </w:p>
        </w:tc>
      </w:tr>
      <w:tr w:rsidR="00A01550" w:rsidRPr="004E038A" w:rsidTr="00B2588E">
        <w:trPr>
          <w:trHeight w:val="567"/>
        </w:trPr>
        <w:tc>
          <w:tcPr>
            <w:tcW w:w="8500" w:type="dxa"/>
            <w:gridSpan w:val="2"/>
            <w:noWrap/>
          </w:tcPr>
          <w:p w:rsidR="00A01550" w:rsidRPr="004E038A" w:rsidRDefault="00A01550" w:rsidP="00A01550">
            <w:pPr>
              <w:pStyle w:val="Prrafodelista"/>
              <w:numPr>
                <w:ilvl w:val="0"/>
                <w:numId w:val="1"/>
              </w:numPr>
              <w:tabs>
                <w:tab w:val="center" w:leader="dot" w:pos="2292"/>
                <w:tab w:val="left" w:leader="dot" w:pos="8142"/>
              </w:tabs>
              <w:ind w:left="306" w:hanging="306"/>
              <w:rPr>
                <w:rFonts w:ascii="Arial" w:hAnsi="Arial" w:cs="Arial"/>
                <w:b/>
                <w:color w:val="000361"/>
                <w:sz w:val="20"/>
                <w:szCs w:val="20"/>
              </w:rPr>
            </w:pPr>
            <w:r w:rsidRPr="004E038A">
              <w:rPr>
                <w:rFonts w:ascii="Arial" w:hAnsi="Arial" w:cs="Arial"/>
                <w:b/>
                <w:color w:val="000361"/>
                <w:sz w:val="20"/>
                <w:szCs w:val="20"/>
              </w:rPr>
              <w:t>Anàlisi qualitatiu</w:t>
            </w:r>
            <w:r w:rsidR="00B80FAD">
              <w:rPr>
                <w:rFonts w:ascii="Arial" w:hAnsi="Arial" w:cs="Arial"/>
                <w:b/>
                <w:color w:val="000361"/>
                <w:sz w:val="20"/>
                <w:szCs w:val="20"/>
              </w:rPr>
              <w:t xml:space="preserve"> de Laboratoris H</w:t>
            </w:r>
            <w:r w:rsidR="00D51D8D">
              <w:rPr>
                <w:rFonts w:ascii="Arial" w:hAnsi="Arial" w:cs="Arial"/>
                <w:b/>
                <w:color w:val="000361"/>
                <w:sz w:val="20"/>
                <w:szCs w:val="20"/>
              </w:rPr>
              <w:t>ipra</w:t>
            </w:r>
            <w:r w:rsidRPr="004E038A">
              <w:rPr>
                <w:rFonts w:ascii="Arial" w:hAnsi="Arial" w:cs="Arial"/>
                <w:b/>
                <w:color w:val="000361"/>
                <w:sz w:val="20"/>
                <w:szCs w:val="20"/>
              </w:rPr>
              <w:t xml:space="preserve"> </w:t>
            </w:r>
            <w:r w:rsidR="00D51D8D">
              <w:rPr>
                <w:rFonts w:ascii="Arial" w:hAnsi="Arial" w:cs="Arial"/>
                <w:b/>
                <w:color w:val="000361"/>
                <w:sz w:val="20"/>
                <w:szCs w:val="20"/>
              </w:rPr>
              <w:t>..........</w:t>
            </w:r>
            <w:r w:rsidR="00B80FAD">
              <w:rPr>
                <w:rFonts w:ascii="Arial" w:hAnsi="Arial" w:cs="Arial"/>
                <w:b/>
                <w:color w:val="000361"/>
                <w:sz w:val="20"/>
                <w:szCs w:val="20"/>
              </w:rPr>
              <w:t>..</w:t>
            </w:r>
            <w:r w:rsidRPr="004E038A">
              <w:rPr>
                <w:rFonts w:ascii="Arial" w:hAnsi="Arial" w:cs="Arial"/>
                <w:b/>
                <w:color w:val="000361"/>
                <w:sz w:val="20"/>
                <w:szCs w:val="20"/>
              </w:rPr>
              <w:t>.................................................................</w:t>
            </w:r>
          </w:p>
        </w:tc>
        <w:tc>
          <w:tcPr>
            <w:tcW w:w="469" w:type="dxa"/>
            <w:noWrap/>
          </w:tcPr>
          <w:p w:rsidR="00A01550" w:rsidRPr="004E038A" w:rsidRDefault="00775233" w:rsidP="00A01550">
            <w:pPr>
              <w:jc w:val="right"/>
              <w:rPr>
                <w:rFonts w:ascii="Arial" w:hAnsi="Arial" w:cs="Arial"/>
                <w:b/>
                <w:color w:val="000361"/>
                <w:sz w:val="20"/>
                <w:szCs w:val="20"/>
              </w:rPr>
            </w:pPr>
            <w:r>
              <w:rPr>
                <w:rFonts w:ascii="Arial" w:hAnsi="Arial" w:cs="Arial"/>
                <w:b/>
                <w:color w:val="000361"/>
                <w:sz w:val="20"/>
                <w:szCs w:val="20"/>
              </w:rPr>
              <w:t>9</w:t>
            </w:r>
          </w:p>
        </w:tc>
      </w:tr>
      <w:tr w:rsidR="00A01550" w:rsidRPr="004E038A" w:rsidTr="00B2588E">
        <w:trPr>
          <w:trHeight w:val="567"/>
        </w:trPr>
        <w:tc>
          <w:tcPr>
            <w:tcW w:w="842" w:type="dxa"/>
            <w:noWrap/>
          </w:tcPr>
          <w:p w:rsidR="00A01550" w:rsidRPr="004E038A" w:rsidRDefault="00A01550" w:rsidP="00A01550">
            <w:pPr>
              <w:rPr>
                <w:rFonts w:ascii="Arial" w:hAnsi="Arial" w:cs="Arial"/>
                <w:color w:val="000361"/>
                <w:sz w:val="20"/>
                <w:szCs w:val="20"/>
              </w:rPr>
            </w:pPr>
            <w:r w:rsidRPr="004E038A">
              <w:rPr>
                <w:rFonts w:ascii="Arial" w:hAnsi="Arial" w:cs="Arial"/>
                <w:color w:val="000361"/>
                <w:sz w:val="20"/>
                <w:szCs w:val="20"/>
              </w:rPr>
              <w:t>1.1.</w:t>
            </w:r>
          </w:p>
        </w:tc>
        <w:tc>
          <w:tcPr>
            <w:tcW w:w="7658" w:type="dxa"/>
            <w:noWrap/>
          </w:tcPr>
          <w:p w:rsidR="00A01550" w:rsidRPr="004E038A" w:rsidRDefault="00A01550" w:rsidP="00A01550">
            <w:pPr>
              <w:tabs>
                <w:tab w:val="right" w:leader="dot" w:pos="8142"/>
              </w:tabs>
              <w:rPr>
                <w:rFonts w:ascii="Arial" w:hAnsi="Arial" w:cs="Arial"/>
                <w:color w:val="000361"/>
                <w:sz w:val="20"/>
                <w:szCs w:val="20"/>
              </w:rPr>
            </w:pPr>
            <w:r w:rsidRPr="004E038A">
              <w:rPr>
                <w:rFonts w:ascii="Arial" w:hAnsi="Arial" w:cs="Arial"/>
                <w:color w:val="000361"/>
                <w:sz w:val="20"/>
                <w:szCs w:val="20"/>
              </w:rPr>
              <w:t>Introducció a l’empresa  ...............</w:t>
            </w:r>
            <w:r w:rsidR="008E6902" w:rsidRPr="004E038A">
              <w:rPr>
                <w:rFonts w:ascii="Arial" w:hAnsi="Arial" w:cs="Arial"/>
                <w:color w:val="000361"/>
                <w:sz w:val="20"/>
                <w:szCs w:val="20"/>
              </w:rPr>
              <w:t>............</w:t>
            </w:r>
            <w:r w:rsidRPr="004E038A">
              <w:rPr>
                <w:rFonts w:ascii="Arial" w:hAnsi="Arial" w:cs="Arial"/>
                <w:color w:val="000361"/>
                <w:sz w:val="20"/>
                <w:szCs w:val="20"/>
              </w:rPr>
              <w:t>...................................................................</w:t>
            </w:r>
          </w:p>
        </w:tc>
        <w:tc>
          <w:tcPr>
            <w:tcW w:w="469" w:type="dxa"/>
            <w:noWrap/>
          </w:tcPr>
          <w:p w:rsidR="00A01550" w:rsidRPr="004E038A" w:rsidRDefault="00775233" w:rsidP="00A01550">
            <w:pPr>
              <w:jc w:val="right"/>
              <w:rPr>
                <w:rFonts w:ascii="Arial" w:hAnsi="Arial" w:cs="Arial"/>
                <w:color w:val="000361"/>
                <w:sz w:val="20"/>
                <w:szCs w:val="20"/>
              </w:rPr>
            </w:pPr>
            <w:r>
              <w:rPr>
                <w:rFonts w:ascii="Arial" w:hAnsi="Arial" w:cs="Arial"/>
                <w:color w:val="000361"/>
                <w:sz w:val="20"/>
                <w:szCs w:val="20"/>
              </w:rPr>
              <w:t>9</w:t>
            </w:r>
          </w:p>
        </w:tc>
      </w:tr>
      <w:tr w:rsidR="00A01550" w:rsidRPr="004E038A" w:rsidTr="00B2588E">
        <w:trPr>
          <w:trHeight w:val="567"/>
        </w:trPr>
        <w:tc>
          <w:tcPr>
            <w:tcW w:w="842" w:type="dxa"/>
            <w:noWrap/>
          </w:tcPr>
          <w:p w:rsidR="00A01550" w:rsidRPr="004E038A" w:rsidRDefault="00A01550" w:rsidP="00A01550">
            <w:pPr>
              <w:rPr>
                <w:rFonts w:ascii="Arial" w:hAnsi="Arial" w:cs="Arial"/>
                <w:color w:val="000361"/>
                <w:sz w:val="20"/>
                <w:szCs w:val="20"/>
              </w:rPr>
            </w:pPr>
            <w:r w:rsidRPr="004E038A">
              <w:rPr>
                <w:rFonts w:ascii="Arial" w:hAnsi="Arial" w:cs="Arial"/>
                <w:color w:val="000361"/>
                <w:sz w:val="20"/>
                <w:szCs w:val="20"/>
              </w:rPr>
              <w:t>1.2.</w:t>
            </w:r>
          </w:p>
        </w:tc>
        <w:tc>
          <w:tcPr>
            <w:tcW w:w="7658" w:type="dxa"/>
            <w:noWrap/>
          </w:tcPr>
          <w:p w:rsidR="00A01550" w:rsidRPr="004E038A" w:rsidRDefault="00A01550" w:rsidP="00A01550">
            <w:pPr>
              <w:tabs>
                <w:tab w:val="right" w:leader="dot" w:pos="8142"/>
              </w:tabs>
              <w:rPr>
                <w:rFonts w:ascii="Arial" w:hAnsi="Arial" w:cs="Arial"/>
                <w:color w:val="000361"/>
                <w:sz w:val="20"/>
                <w:szCs w:val="20"/>
              </w:rPr>
            </w:pPr>
            <w:r w:rsidRPr="004E038A">
              <w:rPr>
                <w:rFonts w:ascii="Arial" w:hAnsi="Arial" w:cs="Arial"/>
                <w:color w:val="000361"/>
                <w:sz w:val="20"/>
                <w:szCs w:val="20"/>
              </w:rPr>
              <w:t>Anàlisi estratègic  .....................................</w:t>
            </w:r>
            <w:r w:rsidR="008E6902" w:rsidRPr="004E038A">
              <w:rPr>
                <w:rFonts w:ascii="Arial" w:hAnsi="Arial" w:cs="Arial"/>
                <w:color w:val="000361"/>
                <w:sz w:val="20"/>
                <w:szCs w:val="20"/>
              </w:rPr>
              <w:t>...........</w:t>
            </w:r>
            <w:r w:rsidRPr="004E038A">
              <w:rPr>
                <w:rFonts w:ascii="Arial" w:hAnsi="Arial" w:cs="Arial"/>
                <w:color w:val="000361"/>
                <w:sz w:val="20"/>
                <w:szCs w:val="20"/>
              </w:rPr>
              <w:t>........................................................</w:t>
            </w:r>
          </w:p>
        </w:tc>
        <w:tc>
          <w:tcPr>
            <w:tcW w:w="469" w:type="dxa"/>
            <w:noWrap/>
          </w:tcPr>
          <w:p w:rsidR="00A01550" w:rsidRPr="004E038A" w:rsidRDefault="00775233" w:rsidP="00A01550">
            <w:pPr>
              <w:jc w:val="right"/>
              <w:rPr>
                <w:rFonts w:ascii="Arial" w:hAnsi="Arial" w:cs="Arial"/>
                <w:color w:val="000361"/>
                <w:sz w:val="20"/>
                <w:szCs w:val="20"/>
              </w:rPr>
            </w:pPr>
            <w:r>
              <w:rPr>
                <w:rFonts w:ascii="Arial" w:hAnsi="Arial" w:cs="Arial"/>
                <w:color w:val="000361"/>
                <w:sz w:val="20"/>
                <w:szCs w:val="20"/>
              </w:rPr>
              <w:t>10</w:t>
            </w:r>
          </w:p>
        </w:tc>
      </w:tr>
      <w:tr w:rsidR="00A01550" w:rsidRPr="004E038A" w:rsidTr="00B2588E">
        <w:trPr>
          <w:trHeight w:val="567"/>
        </w:trPr>
        <w:tc>
          <w:tcPr>
            <w:tcW w:w="8500" w:type="dxa"/>
            <w:gridSpan w:val="2"/>
            <w:noWrap/>
          </w:tcPr>
          <w:p w:rsidR="00A01550" w:rsidRPr="004E038A" w:rsidRDefault="00A01550" w:rsidP="00A01550">
            <w:pPr>
              <w:pStyle w:val="Prrafodelista"/>
              <w:numPr>
                <w:ilvl w:val="0"/>
                <w:numId w:val="1"/>
              </w:numPr>
              <w:tabs>
                <w:tab w:val="right" w:leader="dot" w:pos="8142"/>
              </w:tabs>
              <w:ind w:left="308" w:hanging="284"/>
              <w:rPr>
                <w:rFonts w:ascii="Arial" w:hAnsi="Arial" w:cs="Arial"/>
                <w:b/>
                <w:color w:val="000361"/>
                <w:sz w:val="20"/>
                <w:szCs w:val="20"/>
              </w:rPr>
            </w:pPr>
            <w:r w:rsidRPr="004E038A">
              <w:rPr>
                <w:rFonts w:ascii="Arial" w:hAnsi="Arial" w:cs="Arial"/>
                <w:b/>
                <w:color w:val="000361"/>
                <w:sz w:val="20"/>
                <w:szCs w:val="20"/>
              </w:rPr>
              <w:t xml:space="preserve">Anàlisi dels comptes consolidats de </w:t>
            </w:r>
            <w:r w:rsidR="00D51D8D">
              <w:rPr>
                <w:rFonts w:ascii="Arial" w:hAnsi="Arial" w:cs="Arial"/>
                <w:b/>
                <w:color w:val="000361"/>
                <w:sz w:val="20"/>
                <w:szCs w:val="20"/>
              </w:rPr>
              <w:t>Hipra ..........</w:t>
            </w:r>
            <w:r w:rsidRPr="004E038A">
              <w:rPr>
                <w:rFonts w:ascii="Arial" w:hAnsi="Arial" w:cs="Arial"/>
                <w:b/>
                <w:color w:val="000361"/>
                <w:sz w:val="20"/>
                <w:szCs w:val="20"/>
              </w:rPr>
              <w:t>.....</w:t>
            </w:r>
            <w:r w:rsidR="008E6902" w:rsidRPr="004E038A">
              <w:rPr>
                <w:rFonts w:ascii="Arial" w:hAnsi="Arial" w:cs="Arial"/>
                <w:b/>
                <w:color w:val="000361"/>
                <w:sz w:val="20"/>
                <w:szCs w:val="20"/>
              </w:rPr>
              <w:t>...........</w:t>
            </w:r>
            <w:r w:rsidRPr="004E038A">
              <w:rPr>
                <w:rFonts w:ascii="Arial" w:hAnsi="Arial" w:cs="Arial"/>
                <w:b/>
                <w:color w:val="000361"/>
                <w:sz w:val="20"/>
                <w:szCs w:val="20"/>
              </w:rPr>
              <w:t>............................................</w:t>
            </w:r>
          </w:p>
        </w:tc>
        <w:tc>
          <w:tcPr>
            <w:tcW w:w="469" w:type="dxa"/>
            <w:noWrap/>
          </w:tcPr>
          <w:p w:rsidR="00A01550" w:rsidRPr="004E038A" w:rsidRDefault="00A01550" w:rsidP="00A01550">
            <w:pPr>
              <w:jc w:val="right"/>
              <w:rPr>
                <w:rFonts w:ascii="Arial" w:hAnsi="Arial" w:cs="Arial"/>
                <w:b/>
                <w:color w:val="000361"/>
                <w:sz w:val="20"/>
                <w:szCs w:val="20"/>
              </w:rPr>
            </w:pPr>
            <w:r w:rsidRPr="004E038A">
              <w:rPr>
                <w:rFonts w:ascii="Arial" w:hAnsi="Arial" w:cs="Arial"/>
                <w:b/>
                <w:color w:val="000361"/>
                <w:sz w:val="20"/>
                <w:szCs w:val="20"/>
              </w:rPr>
              <w:t>1</w:t>
            </w:r>
            <w:r w:rsidR="00775233">
              <w:rPr>
                <w:rFonts w:ascii="Arial" w:hAnsi="Arial" w:cs="Arial"/>
                <w:b/>
                <w:color w:val="000361"/>
                <w:sz w:val="20"/>
                <w:szCs w:val="20"/>
              </w:rPr>
              <w:t>1</w:t>
            </w:r>
          </w:p>
        </w:tc>
      </w:tr>
      <w:tr w:rsidR="00A01550" w:rsidRPr="004E038A" w:rsidTr="00B2588E">
        <w:trPr>
          <w:trHeight w:val="567"/>
        </w:trPr>
        <w:tc>
          <w:tcPr>
            <w:tcW w:w="842" w:type="dxa"/>
            <w:noWrap/>
          </w:tcPr>
          <w:p w:rsidR="00A01550" w:rsidRPr="00E67FDA" w:rsidRDefault="00A01550" w:rsidP="00A01550">
            <w:pPr>
              <w:rPr>
                <w:rFonts w:ascii="Arial" w:hAnsi="Arial" w:cs="Arial"/>
                <w:color w:val="000361"/>
                <w:sz w:val="20"/>
                <w:szCs w:val="20"/>
              </w:rPr>
            </w:pPr>
            <w:r w:rsidRPr="00E67FDA">
              <w:rPr>
                <w:rFonts w:ascii="Arial" w:hAnsi="Arial" w:cs="Arial"/>
                <w:color w:val="000361"/>
                <w:sz w:val="20"/>
                <w:szCs w:val="20"/>
              </w:rPr>
              <w:t>2.1.</w:t>
            </w:r>
          </w:p>
        </w:tc>
        <w:tc>
          <w:tcPr>
            <w:tcW w:w="7658" w:type="dxa"/>
            <w:noWrap/>
          </w:tcPr>
          <w:p w:rsidR="00A01550" w:rsidRPr="00E67FDA" w:rsidRDefault="00A01550" w:rsidP="00A01550">
            <w:pPr>
              <w:tabs>
                <w:tab w:val="right" w:leader="dot" w:pos="8142"/>
              </w:tabs>
              <w:rPr>
                <w:rFonts w:ascii="Arial" w:hAnsi="Arial" w:cs="Arial"/>
                <w:color w:val="000361"/>
                <w:sz w:val="20"/>
                <w:szCs w:val="20"/>
              </w:rPr>
            </w:pPr>
            <w:r w:rsidRPr="00E67FDA">
              <w:rPr>
                <w:rFonts w:ascii="Arial" w:hAnsi="Arial" w:cs="Arial"/>
                <w:color w:val="000361"/>
                <w:sz w:val="20"/>
                <w:szCs w:val="20"/>
              </w:rPr>
              <w:t>Introducció dels estats financers  ...........</w:t>
            </w:r>
            <w:r w:rsidR="00E67FDA">
              <w:rPr>
                <w:rFonts w:ascii="Arial" w:hAnsi="Arial" w:cs="Arial"/>
                <w:color w:val="000361"/>
                <w:sz w:val="20"/>
                <w:szCs w:val="20"/>
              </w:rPr>
              <w:t>.....</w:t>
            </w:r>
            <w:r w:rsidRPr="00E67FDA">
              <w:rPr>
                <w:rFonts w:ascii="Arial" w:hAnsi="Arial" w:cs="Arial"/>
                <w:color w:val="000361"/>
                <w:sz w:val="20"/>
                <w:szCs w:val="20"/>
              </w:rPr>
              <w:t>....................</w:t>
            </w:r>
            <w:r w:rsidR="008E6902" w:rsidRPr="00E67FDA">
              <w:rPr>
                <w:rFonts w:ascii="Arial" w:hAnsi="Arial" w:cs="Arial"/>
                <w:color w:val="000361"/>
                <w:sz w:val="20"/>
                <w:szCs w:val="20"/>
              </w:rPr>
              <w:t>............</w:t>
            </w:r>
            <w:r w:rsidRPr="00E67FDA">
              <w:rPr>
                <w:rFonts w:ascii="Arial" w:hAnsi="Arial" w:cs="Arial"/>
                <w:color w:val="000361"/>
                <w:sz w:val="20"/>
                <w:szCs w:val="20"/>
              </w:rPr>
              <w:t>................................</w:t>
            </w:r>
          </w:p>
        </w:tc>
        <w:tc>
          <w:tcPr>
            <w:tcW w:w="469" w:type="dxa"/>
            <w:noWrap/>
          </w:tcPr>
          <w:p w:rsidR="00A01550" w:rsidRPr="00E67FDA" w:rsidRDefault="00A01550" w:rsidP="00A01550">
            <w:pPr>
              <w:jc w:val="right"/>
              <w:rPr>
                <w:rFonts w:ascii="Arial" w:hAnsi="Arial" w:cs="Arial"/>
                <w:color w:val="000361"/>
                <w:sz w:val="20"/>
                <w:szCs w:val="20"/>
              </w:rPr>
            </w:pPr>
            <w:r w:rsidRPr="00E67FDA">
              <w:rPr>
                <w:rFonts w:ascii="Arial" w:hAnsi="Arial" w:cs="Arial"/>
                <w:color w:val="000361"/>
                <w:sz w:val="20"/>
                <w:szCs w:val="20"/>
              </w:rPr>
              <w:t>1</w:t>
            </w:r>
            <w:r w:rsidR="00775233">
              <w:rPr>
                <w:rFonts w:ascii="Arial" w:hAnsi="Arial" w:cs="Arial"/>
                <w:color w:val="000361"/>
                <w:sz w:val="20"/>
                <w:szCs w:val="20"/>
              </w:rPr>
              <w:t>1</w:t>
            </w:r>
          </w:p>
        </w:tc>
      </w:tr>
      <w:tr w:rsidR="00A01550" w:rsidRPr="004E038A" w:rsidTr="00B2588E">
        <w:trPr>
          <w:trHeight w:val="567"/>
        </w:trPr>
        <w:tc>
          <w:tcPr>
            <w:tcW w:w="842" w:type="dxa"/>
            <w:noWrap/>
          </w:tcPr>
          <w:p w:rsidR="00A01550" w:rsidRPr="00E67FDA" w:rsidRDefault="00A01550" w:rsidP="00A01550">
            <w:pPr>
              <w:rPr>
                <w:rFonts w:ascii="Arial" w:hAnsi="Arial" w:cs="Arial"/>
                <w:color w:val="000361"/>
                <w:sz w:val="20"/>
                <w:szCs w:val="20"/>
              </w:rPr>
            </w:pPr>
            <w:r w:rsidRPr="00E67FDA">
              <w:rPr>
                <w:rFonts w:ascii="Arial" w:hAnsi="Arial" w:cs="Arial"/>
                <w:color w:val="000361"/>
                <w:sz w:val="20"/>
                <w:szCs w:val="20"/>
              </w:rPr>
              <w:t>2.2.</w:t>
            </w:r>
          </w:p>
        </w:tc>
        <w:tc>
          <w:tcPr>
            <w:tcW w:w="7658" w:type="dxa"/>
            <w:noWrap/>
          </w:tcPr>
          <w:p w:rsidR="00A01550" w:rsidRPr="00E67FDA" w:rsidRDefault="00A01550" w:rsidP="00A01550">
            <w:pPr>
              <w:tabs>
                <w:tab w:val="right" w:leader="dot" w:pos="8142"/>
              </w:tabs>
              <w:rPr>
                <w:rFonts w:ascii="Arial" w:hAnsi="Arial" w:cs="Arial"/>
                <w:color w:val="000361"/>
                <w:sz w:val="20"/>
                <w:szCs w:val="20"/>
              </w:rPr>
            </w:pPr>
            <w:r w:rsidRPr="00E67FDA">
              <w:rPr>
                <w:rFonts w:ascii="Arial" w:hAnsi="Arial" w:cs="Arial"/>
                <w:color w:val="000361"/>
                <w:sz w:val="20"/>
                <w:szCs w:val="20"/>
              </w:rPr>
              <w:t>Anàlisi del balanç de situació consolidat  ....</w:t>
            </w:r>
            <w:r w:rsidR="00E67FDA">
              <w:rPr>
                <w:rFonts w:ascii="Arial" w:hAnsi="Arial" w:cs="Arial"/>
                <w:color w:val="000361"/>
                <w:sz w:val="20"/>
                <w:szCs w:val="20"/>
              </w:rPr>
              <w:t>......</w:t>
            </w:r>
            <w:r w:rsidRPr="00E67FDA">
              <w:rPr>
                <w:rFonts w:ascii="Arial" w:hAnsi="Arial" w:cs="Arial"/>
                <w:color w:val="000361"/>
                <w:sz w:val="20"/>
                <w:szCs w:val="20"/>
              </w:rPr>
              <w:t>..........................</w:t>
            </w:r>
            <w:r w:rsidR="008E6902" w:rsidRPr="00E67FDA">
              <w:rPr>
                <w:rFonts w:ascii="Arial" w:hAnsi="Arial" w:cs="Arial"/>
                <w:color w:val="000361"/>
                <w:sz w:val="20"/>
                <w:szCs w:val="20"/>
              </w:rPr>
              <w:t>..........</w:t>
            </w:r>
            <w:r w:rsidRPr="00E67FDA">
              <w:rPr>
                <w:rFonts w:ascii="Arial" w:hAnsi="Arial" w:cs="Arial"/>
                <w:color w:val="000361"/>
                <w:sz w:val="20"/>
                <w:szCs w:val="20"/>
              </w:rPr>
              <w:t>......................</w:t>
            </w:r>
          </w:p>
        </w:tc>
        <w:tc>
          <w:tcPr>
            <w:tcW w:w="469" w:type="dxa"/>
            <w:noWrap/>
          </w:tcPr>
          <w:p w:rsidR="00A01550" w:rsidRPr="00E67FDA" w:rsidRDefault="00A01550" w:rsidP="00A01550">
            <w:pPr>
              <w:jc w:val="right"/>
              <w:rPr>
                <w:rFonts w:ascii="Arial" w:hAnsi="Arial" w:cs="Arial"/>
                <w:color w:val="000361"/>
                <w:sz w:val="20"/>
                <w:szCs w:val="20"/>
              </w:rPr>
            </w:pPr>
            <w:r w:rsidRPr="00E67FDA">
              <w:rPr>
                <w:rFonts w:ascii="Arial" w:hAnsi="Arial" w:cs="Arial"/>
                <w:color w:val="000361"/>
                <w:sz w:val="20"/>
                <w:szCs w:val="20"/>
              </w:rPr>
              <w:t>1</w:t>
            </w:r>
            <w:r w:rsidR="00775233">
              <w:rPr>
                <w:rFonts w:ascii="Arial" w:hAnsi="Arial" w:cs="Arial"/>
                <w:color w:val="000361"/>
                <w:sz w:val="20"/>
                <w:szCs w:val="20"/>
              </w:rPr>
              <w:t>1</w:t>
            </w:r>
          </w:p>
        </w:tc>
      </w:tr>
      <w:tr w:rsidR="00A01550" w:rsidRPr="004E038A" w:rsidTr="00B2588E">
        <w:trPr>
          <w:trHeight w:val="567"/>
        </w:trPr>
        <w:tc>
          <w:tcPr>
            <w:tcW w:w="842" w:type="dxa"/>
            <w:noWrap/>
          </w:tcPr>
          <w:p w:rsidR="00A01550" w:rsidRPr="004E038A" w:rsidRDefault="00A01550" w:rsidP="00A01550">
            <w:pPr>
              <w:rPr>
                <w:rFonts w:ascii="Arial" w:hAnsi="Arial" w:cs="Arial"/>
                <w:color w:val="000361"/>
                <w:sz w:val="20"/>
                <w:szCs w:val="20"/>
              </w:rPr>
            </w:pPr>
            <w:r w:rsidRPr="004E038A">
              <w:rPr>
                <w:rFonts w:ascii="Arial" w:hAnsi="Arial" w:cs="Arial"/>
                <w:color w:val="000361"/>
                <w:sz w:val="20"/>
                <w:szCs w:val="20"/>
              </w:rPr>
              <w:t>2.2.1.</w:t>
            </w:r>
          </w:p>
        </w:tc>
        <w:tc>
          <w:tcPr>
            <w:tcW w:w="7658" w:type="dxa"/>
            <w:noWrap/>
          </w:tcPr>
          <w:p w:rsidR="00A01550" w:rsidRPr="004E038A" w:rsidRDefault="00A01550" w:rsidP="00A01550">
            <w:pPr>
              <w:tabs>
                <w:tab w:val="right" w:leader="dot" w:pos="8142"/>
              </w:tabs>
              <w:rPr>
                <w:rFonts w:ascii="Arial" w:hAnsi="Arial" w:cs="Arial"/>
                <w:color w:val="000361"/>
                <w:sz w:val="20"/>
                <w:szCs w:val="20"/>
              </w:rPr>
            </w:pPr>
            <w:r w:rsidRPr="004E038A">
              <w:rPr>
                <w:rFonts w:ascii="Arial" w:hAnsi="Arial" w:cs="Arial"/>
                <w:color w:val="000361"/>
                <w:sz w:val="20"/>
                <w:szCs w:val="20"/>
              </w:rPr>
              <w:t>Anàlisi patrimonial  ................................................................................</w:t>
            </w:r>
            <w:r w:rsidR="008E6902" w:rsidRPr="004E038A">
              <w:rPr>
                <w:rFonts w:ascii="Arial" w:hAnsi="Arial" w:cs="Arial"/>
                <w:color w:val="000361"/>
                <w:sz w:val="20"/>
                <w:szCs w:val="20"/>
              </w:rPr>
              <w:t>............</w:t>
            </w:r>
            <w:r w:rsidRPr="004E038A">
              <w:rPr>
                <w:rFonts w:ascii="Arial" w:hAnsi="Arial" w:cs="Arial"/>
                <w:color w:val="000361"/>
                <w:sz w:val="20"/>
                <w:szCs w:val="20"/>
              </w:rPr>
              <w:t>..........</w:t>
            </w:r>
          </w:p>
        </w:tc>
        <w:tc>
          <w:tcPr>
            <w:tcW w:w="469" w:type="dxa"/>
            <w:noWrap/>
          </w:tcPr>
          <w:p w:rsidR="00A01550" w:rsidRPr="004E038A" w:rsidRDefault="00A01550" w:rsidP="00A01550">
            <w:pPr>
              <w:jc w:val="right"/>
              <w:rPr>
                <w:rFonts w:ascii="Arial" w:hAnsi="Arial" w:cs="Arial"/>
                <w:color w:val="000361"/>
                <w:sz w:val="20"/>
                <w:szCs w:val="20"/>
              </w:rPr>
            </w:pPr>
            <w:r w:rsidRPr="004E038A">
              <w:rPr>
                <w:rFonts w:ascii="Arial" w:hAnsi="Arial" w:cs="Arial"/>
                <w:color w:val="000361"/>
                <w:sz w:val="20"/>
                <w:szCs w:val="20"/>
              </w:rPr>
              <w:t>1</w:t>
            </w:r>
            <w:r w:rsidR="00775233">
              <w:rPr>
                <w:rFonts w:ascii="Arial" w:hAnsi="Arial" w:cs="Arial"/>
                <w:color w:val="000361"/>
                <w:sz w:val="20"/>
                <w:szCs w:val="20"/>
              </w:rPr>
              <w:t>1</w:t>
            </w:r>
          </w:p>
        </w:tc>
      </w:tr>
      <w:tr w:rsidR="00A01550" w:rsidRPr="004E038A" w:rsidTr="00B2588E">
        <w:trPr>
          <w:trHeight w:val="567"/>
        </w:trPr>
        <w:tc>
          <w:tcPr>
            <w:tcW w:w="842" w:type="dxa"/>
            <w:noWrap/>
          </w:tcPr>
          <w:p w:rsidR="00A01550" w:rsidRPr="004E038A" w:rsidRDefault="00A01550" w:rsidP="00A01550">
            <w:pPr>
              <w:rPr>
                <w:rFonts w:ascii="Arial" w:hAnsi="Arial" w:cs="Arial"/>
                <w:color w:val="000361"/>
                <w:sz w:val="20"/>
                <w:szCs w:val="20"/>
              </w:rPr>
            </w:pPr>
            <w:r w:rsidRPr="004E038A">
              <w:rPr>
                <w:rFonts w:ascii="Arial" w:hAnsi="Arial" w:cs="Arial"/>
                <w:color w:val="000361"/>
                <w:sz w:val="20"/>
                <w:szCs w:val="20"/>
              </w:rPr>
              <w:t>2.2.2.</w:t>
            </w:r>
          </w:p>
        </w:tc>
        <w:tc>
          <w:tcPr>
            <w:tcW w:w="7658" w:type="dxa"/>
            <w:noWrap/>
          </w:tcPr>
          <w:p w:rsidR="00A01550" w:rsidRPr="004E038A" w:rsidRDefault="00A01550" w:rsidP="00A01550">
            <w:pPr>
              <w:tabs>
                <w:tab w:val="right" w:leader="dot" w:pos="8142"/>
              </w:tabs>
              <w:rPr>
                <w:rFonts w:ascii="Arial" w:hAnsi="Arial" w:cs="Arial"/>
                <w:color w:val="000361"/>
                <w:sz w:val="20"/>
                <w:szCs w:val="20"/>
              </w:rPr>
            </w:pPr>
            <w:r w:rsidRPr="004E038A">
              <w:rPr>
                <w:rFonts w:ascii="Arial" w:hAnsi="Arial" w:cs="Arial"/>
                <w:color w:val="000361"/>
                <w:sz w:val="20"/>
                <w:szCs w:val="20"/>
              </w:rPr>
              <w:t>Anàlisi financer  ...............................................................................................</w:t>
            </w:r>
            <w:r w:rsidR="008E6902" w:rsidRPr="004E038A">
              <w:rPr>
                <w:rFonts w:ascii="Arial" w:hAnsi="Arial" w:cs="Arial"/>
                <w:color w:val="000361"/>
                <w:sz w:val="20"/>
                <w:szCs w:val="20"/>
              </w:rPr>
              <w:t>............</w:t>
            </w:r>
          </w:p>
        </w:tc>
        <w:tc>
          <w:tcPr>
            <w:tcW w:w="469" w:type="dxa"/>
            <w:noWrap/>
          </w:tcPr>
          <w:p w:rsidR="00A01550" w:rsidRPr="004E038A" w:rsidRDefault="00A01550" w:rsidP="00A01550">
            <w:pPr>
              <w:jc w:val="right"/>
              <w:rPr>
                <w:rFonts w:ascii="Arial" w:hAnsi="Arial" w:cs="Arial"/>
                <w:color w:val="000361"/>
                <w:sz w:val="20"/>
                <w:szCs w:val="20"/>
              </w:rPr>
            </w:pPr>
            <w:r w:rsidRPr="004E038A">
              <w:rPr>
                <w:rFonts w:ascii="Arial" w:hAnsi="Arial" w:cs="Arial"/>
                <w:color w:val="000361"/>
                <w:sz w:val="20"/>
                <w:szCs w:val="20"/>
              </w:rPr>
              <w:t>1</w:t>
            </w:r>
            <w:r w:rsidR="00775233">
              <w:rPr>
                <w:rFonts w:ascii="Arial" w:hAnsi="Arial" w:cs="Arial"/>
                <w:color w:val="000361"/>
                <w:sz w:val="20"/>
                <w:szCs w:val="20"/>
              </w:rPr>
              <w:t>7</w:t>
            </w:r>
          </w:p>
        </w:tc>
      </w:tr>
      <w:tr w:rsidR="00A01550" w:rsidRPr="004E038A" w:rsidTr="00B2588E">
        <w:trPr>
          <w:trHeight w:val="567"/>
        </w:trPr>
        <w:tc>
          <w:tcPr>
            <w:tcW w:w="842" w:type="dxa"/>
            <w:noWrap/>
          </w:tcPr>
          <w:p w:rsidR="00A01550" w:rsidRPr="00E67FDA" w:rsidRDefault="00A01550" w:rsidP="00A01550">
            <w:pPr>
              <w:rPr>
                <w:rFonts w:ascii="Arial" w:hAnsi="Arial" w:cs="Arial"/>
                <w:color w:val="000361"/>
                <w:sz w:val="20"/>
                <w:szCs w:val="20"/>
              </w:rPr>
            </w:pPr>
            <w:r w:rsidRPr="00E67FDA">
              <w:rPr>
                <w:rFonts w:ascii="Arial" w:hAnsi="Arial" w:cs="Arial"/>
                <w:color w:val="000361"/>
                <w:sz w:val="20"/>
                <w:szCs w:val="20"/>
              </w:rPr>
              <w:t>2.3.</w:t>
            </w:r>
          </w:p>
        </w:tc>
        <w:tc>
          <w:tcPr>
            <w:tcW w:w="7658" w:type="dxa"/>
            <w:noWrap/>
          </w:tcPr>
          <w:p w:rsidR="00A01550" w:rsidRPr="00E67FDA" w:rsidRDefault="00A01550" w:rsidP="00A01550">
            <w:pPr>
              <w:tabs>
                <w:tab w:val="right" w:leader="dot" w:pos="8142"/>
              </w:tabs>
              <w:rPr>
                <w:rFonts w:ascii="Arial" w:hAnsi="Arial" w:cs="Arial"/>
                <w:color w:val="000361"/>
                <w:sz w:val="20"/>
                <w:szCs w:val="20"/>
              </w:rPr>
            </w:pPr>
            <w:r w:rsidRPr="00E67FDA">
              <w:rPr>
                <w:rFonts w:ascii="Arial" w:hAnsi="Arial" w:cs="Arial"/>
                <w:color w:val="000361"/>
                <w:sz w:val="20"/>
                <w:szCs w:val="20"/>
              </w:rPr>
              <w:t>Anàlisi del compte de pèrdues i guanys consolidats  ....................</w:t>
            </w:r>
            <w:r w:rsidR="00E67FDA">
              <w:rPr>
                <w:rFonts w:ascii="Arial" w:hAnsi="Arial" w:cs="Arial"/>
                <w:color w:val="000361"/>
                <w:sz w:val="20"/>
                <w:szCs w:val="20"/>
              </w:rPr>
              <w:t>.......</w:t>
            </w:r>
            <w:r w:rsidRPr="00E67FDA">
              <w:rPr>
                <w:rFonts w:ascii="Arial" w:hAnsi="Arial" w:cs="Arial"/>
                <w:color w:val="000361"/>
                <w:sz w:val="20"/>
                <w:szCs w:val="20"/>
              </w:rPr>
              <w:t>........</w:t>
            </w:r>
            <w:r w:rsidR="008E6902" w:rsidRPr="00E67FDA">
              <w:rPr>
                <w:rFonts w:ascii="Arial" w:hAnsi="Arial" w:cs="Arial"/>
                <w:color w:val="000361"/>
                <w:sz w:val="20"/>
                <w:szCs w:val="20"/>
              </w:rPr>
              <w:t>.........</w:t>
            </w:r>
            <w:r w:rsidRPr="00E67FDA">
              <w:rPr>
                <w:rFonts w:ascii="Arial" w:hAnsi="Arial" w:cs="Arial"/>
                <w:color w:val="000361"/>
                <w:sz w:val="20"/>
                <w:szCs w:val="20"/>
              </w:rPr>
              <w:t>......</w:t>
            </w:r>
          </w:p>
        </w:tc>
        <w:tc>
          <w:tcPr>
            <w:tcW w:w="469" w:type="dxa"/>
            <w:noWrap/>
          </w:tcPr>
          <w:p w:rsidR="00A01550" w:rsidRPr="00E67FDA" w:rsidRDefault="00A01550" w:rsidP="00A01550">
            <w:pPr>
              <w:jc w:val="right"/>
              <w:rPr>
                <w:rFonts w:ascii="Arial" w:hAnsi="Arial" w:cs="Arial"/>
                <w:color w:val="000361"/>
                <w:sz w:val="20"/>
                <w:szCs w:val="20"/>
              </w:rPr>
            </w:pPr>
            <w:r w:rsidRPr="00E67FDA">
              <w:rPr>
                <w:rFonts w:ascii="Arial" w:hAnsi="Arial" w:cs="Arial"/>
                <w:color w:val="000361"/>
                <w:sz w:val="20"/>
                <w:szCs w:val="20"/>
              </w:rPr>
              <w:t>1</w:t>
            </w:r>
            <w:r w:rsidR="00775233">
              <w:rPr>
                <w:rFonts w:ascii="Arial" w:hAnsi="Arial" w:cs="Arial"/>
                <w:color w:val="000361"/>
                <w:sz w:val="20"/>
                <w:szCs w:val="20"/>
              </w:rPr>
              <w:t>9</w:t>
            </w:r>
          </w:p>
        </w:tc>
      </w:tr>
      <w:tr w:rsidR="00A01550" w:rsidRPr="004E038A" w:rsidTr="00B2588E">
        <w:trPr>
          <w:trHeight w:val="567"/>
        </w:trPr>
        <w:tc>
          <w:tcPr>
            <w:tcW w:w="842" w:type="dxa"/>
            <w:noWrap/>
          </w:tcPr>
          <w:p w:rsidR="00A01550" w:rsidRPr="004E038A" w:rsidRDefault="00A01550" w:rsidP="00A01550">
            <w:pPr>
              <w:rPr>
                <w:rFonts w:ascii="Arial" w:hAnsi="Arial" w:cs="Arial"/>
                <w:color w:val="000361"/>
                <w:sz w:val="20"/>
                <w:szCs w:val="20"/>
              </w:rPr>
            </w:pPr>
            <w:r w:rsidRPr="004E038A">
              <w:rPr>
                <w:rFonts w:ascii="Arial" w:hAnsi="Arial" w:cs="Arial"/>
                <w:color w:val="000361"/>
                <w:sz w:val="20"/>
                <w:szCs w:val="20"/>
              </w:rPr>
              <w:t>2.3.1.</w:t>
            </w:r>
          </w:p>
        </w:tc>
        <w:tc>
          <w:tcPr>
            <w:tcW w:w="7658" w:type="dxa"/>
            <w:noWrap/>
          </w:tcPr>
          <w:p w:rsidR="00A01550" w:rsidRPr="004E038A" w:rsidRDefault="00A01550" w:rsidP="00A01550">
            <w:pPr>
              <w:tabs>
                <w:tab w:val="right" w:leader="dot" w:pos="8142"/>
              </w:tabs>
              <w:rPr>
                <w:rFonts w:ascii="Arial" w:hAnsi="Arial" w:cs="Arial"/>
                <w:color w:val="000361"/>
                <w:sz w:val="20"/>
                <w:szCs w:val="20"/>
              </w:rPr>
            </w:pPr>
            <w:r w:rsidRPr="004E038A">
              <w:rPr>
                <w:rFonts w:ascii="Arial" w:hAnsi="Arial" w:cs="Arial"/>
                <w:color w:val="000361"/>
                <w:sz w:val="20"/>
                <w:szCs w:val="20"/>
              </w:rPr>
              <w:t>Anàlisi percentual  .........................................................................................</w:t>
            </w:r>
            <w:r w:rsidR="008E6902" w:rsidRPr="004E038A">
              <w:rPr>
                <w:rFonts w:ascii="Arial" w:hAnsi="Arial" w:cs="Arial"/>
                <w:color w:val="000361"/>
                <w:sz w:val="20"/>
                <w:szCs w:val="20"/>
              </w:rPr>
              <w:t>............</w:t>
            </w:r>
            <w:r w:rsidRPr="004E038A">
              <w:rPr>
                <w:rFonts w:ascii="Arial" w:hAnsi="Arial" w:cs="Arial"/>
                <w:color w:val="000361"/>
                <w:sz w:val="20"/>
                <w:szCs w:val="20"/>
              </w:rPr>
              <w:t>..</w:t>
            </w:r>
          </w:p>
        </w:tc>
        <w:tc>
          <w:tcPr>
            <w:tcW w:w="469" w:type="dxa"/>
            <w:noWrap/>
          </w:tcPr>
          <w:p w:rsidR="00A01550" w:rsidRPr="004E038A" w:rsidRDefault="00A01550" w:rsidP="00A01550">
            <w:pPr>
              <w:jc w:val="right"/>
              <w:rPr>
                <w:rFonts w:ascii="Arial" w:hAnsi="Arial" w:cs="Arial"/>
                <w:color w:val="000361"/>
                <w:sz w:val="20"/>
                <w:szCs w:val="20"/>
              </w:rPr>
            </w:pPr>
            <w:r w:rsidRPr="004E038A">
              <w:rPr>
                <w:rFonts w:ascii="Arial" w:hAnsi="Arial" w:cs="Arial"/>
                <w:color w:val="000361"/>
                <w:sz w:val="20"/>
                <w:szCs w:val="20"/>
              </w:rPr>
              <w:t>1</w:t>
            </w:r>
            <w:r w:rsidR="00775233">
              <w:rPr>
                <w:rFonts w:ascii="Arial" w:hAnsi="Arial" w:cs="Arial"/>
                <w:color w:val="000361"/>
                <w:sz w:val="20"/>
                <w:szCs w:val="20"/>
              </w:rPr>
              <w:t>9</w:t>
            </w:r>
          </w:p>
        </w:tc>
      </w:tr>
      <w:tr w:rsidR="00A01550" w:rsidRPr="004E038A" w:rsidTr="00B2588E">
        <w:trPr>
          <w:trHeight w:val="567"/>
        </w:trPr>
        <w:tc>
          <w:tcPr>
            <w:tcW w:w="842" w:type="dxa"/>
            <w:noWrap/>
          </w:tcPr>
          <w:p w:rsidR="00A01550" w:rsidRPr="004E038A" w:rsidRDefault="00A01550" w:rsidP="00A01550">
            <w:pPr>
              <w:rPr>
                <w:rFonts w:ascii="Arial" w:hAnsi="Arial" w:cs="Arial"/>
                <w:color w:val="000361"/>
                <w:sz w:val="20"/>
                <w:szCs w:val="20"/>
              </w:rPr>
            </w:pPr>
            <w:r w:rsidRPr="004E038A">
              <w:rPr>
                <w:rFonts w:ascii="Arial" w:hAnsi="Arial" w:cs="Arial"/>
                <w:color w:val="000361"/>
                <w:sz w:val="20"/>
                <w:szCs w:val="20"/>
              </w:rPr>
              <w:t>2.3.2.</w:t>
            </w:r>
          </w:p>
        </w:tc>
        <w:tc>
          <w:tcPr>
            <w:tcW w:w="7658" w:type="dxa"/>
            <w:noWrap/>
          </w:tcPr>
          <w:p w:rsidR="00A01550" w:rsidRPr="004E038A" w:rsidRDefault="00A01550" w:rsidP="00A01550">
            <w:pPr>
              <w:tabs>
                <w:tab w:val="right" w:leader="dot" w:pos="8142"/>
              </w:tabs>
              <w:rPr>
                <w:rFonts w:ascii="Arial" w:hAnsi="Arial" w:cs="Arial"/>
                <w:color w:val="000361"/>
                <w:sz w:val="20"/>
                <w:szCs w:val="20"/>
              </w:rPr>
            </w:pPr>
            <w:r w:rsidRPr="004E038A">
              <w:rPr>
                <w:rFonts w:ascii="Arial" w:hAnsi="Arial" w:cs="Arial"/>
                <w:color w:val="000361"/>
                <w:sz w:val="20"/>
                <w:szCs w:val="20"/>
              </w:rPr>
              <w:t>Anàlisi de la rotació  .......................................................................................</w:t>
            </w:r>
            <w:r w:rsidR="008E6902" w:rsidRPr="004E038A">
              <w:rPr>
                <w:rFonts w:ascii="Arial" w:hAnsi="Arial" w:cs="Arial"/>
                <w:color w:val="000361"/>
                <w:sz w:val="20"/>
                <w:szCs w:val="20"/>
              </w:rPr>
              <w:t>............</w:t>
            </w:r>
            <w:r w:rsidRPr="004E038A">
              <w:rPr>
                <w:rFonts w:ascii="Arial" w:hAnsi="Arial" w:cs="Arial"/>
                <w:color w:val="000361"/>
                <w:sz w:val="20"/>
                <w:szCs w:val="20"/>
              </w:rPr>
              <w:t>.</w:t>
            </w:r>
          </w:p>
        </w:tc>
        <w:tc>
          <w:tcPr>
            <w:tcW w:w="469" w:type="dxa"/>
            <w:noWrap/>
          </w:tcPr>
          <w:p w:rsidR="00A01550" w:rsidRPr="004E038A" w:rsidRDefault="00775233" w:rsidP="00A01550">
            <w:pPr>
              <w:jc w:val="right"/>
              <w:rPr>
                <w:rFonts w:ascii="Arial" w:hAnsi="Arial" w:cs="Arial"/>
                <w:color w:val="000361"/>
                <w:sz w:val="20"/>
                <w:szCs w:val="20"/>
              </w:rPr>
            </w:pPr>
            <w:r>
              <w:rPr>
                <w:rFonts w:ascii="Arial" w:hAnsi="Arial" w:cs="Arial"/>
                <w:color w:val="000361"/>
                <w:sz w:val="20"/>
                <w:szCs w:val="20"/>
              </w:rPr>
              <w:t>23</w:t>
            </w:r>
          </w:p>
        </w:tc>
      </w:tr>
      <w:tr w:rsidR="00A01550" w:rsidRPr="004E038A" w:rsidTr="00B2588E">
        <w:trPr>
          <w:trHeight w:val="567"/>
        </w:trPr>
        <w:tc>
          <w:tcPr>
            <w:tcW w:w="842" w:type="dxa"/>
            <w:noWrap/>
          </w:tcPr>
          <w:p w:rsidR="00A01550" w:rsidRPr="004E038A" w:rsidRDefault="00A01550" w:rsidP="00A01550">
            <w:pPr>
              <w:rPr>
                <w:rFonts w:ascii="Arial" w:hAnsi="Arial" w:cs="Arial"/>
                <w:color w:val="000361"/>
                <w:sz w:val="20"/>
                <w:szCs w:val="20"/>
              </w:rPr>
            </w:pPr>
            <w:r w:rsidRPr="004E038A">
              <w:rPr>
                <w:rFonts w:ascii="Arial" w:hAnsi="Arial" w:cs="Arial"/>
                <w:color w:val="000361"/>
                <w:sz w:val="20"/>
                <w:szCs w:val="20"/>
              </w:rPr>
              <w:t>2.3.3.</w:t>
            </w:r>
          </w:p>
        </w:tc>
        <w:tc>
          <w:tcPr>
            <w:tcW w:w="7658" w:type="dxa"/>
            <w:noWrap/>
          </w:tcPr>
          <w:p w:rsidR="00A01550" w:rsidRPr="004E038A" w:rsidRDefault="006E5C3E" w:rsidP="00A01550">
            <w:pPr>
              <w:tabs>
                <w:tab w:val="right" w:leader="dot" w:pos="8142"/>
              </w:tabs>
              <w:rPr>
                <w:rFonts w:ascii="Arial" w:hAnsi="Arial" w:cs="Arial"/>
                <w:color w:val="000361"/>
                <w:sz w:val="20"/>
                <w:szCs w:val="20"/>
              </w:rPr>
            </w:pPr>
            <w:r>
              <w:rPr>
                <w:rFonts w:ascii="Arial" w:hAnsi="Arial" w:cs="Arial"/>
                <w:color w:val="000361"/>
                <w:sz w:val="20"/>
                <w:szCs w:val="20"/>
              </w:rPr>
              <w:t>Palanquejament</w:t>
            </w:r>
            <w:r w:rsidR="00A01550" w:rsidRPr="004E038A">
              <w:rPr>
                <w:rFonts w:ascii="Arial" w:hAnsi="Arial" w:cs="Arial"/>
                <w:color w:val="000361"/>
                <w:sz w:val="20"/>
                <w:szCs w:val="20"/>
              </w:rPr>
              <w:t xml:space="preserve"> operatiu  .............................................................................</w:t>
            </w:r>
            <w:r w:rsidR="008E6902" w:rsidRPr="004E038A">
              <w:rPr>
                <w:rFonts w:ascii="Arial" w:hAnsi="Arial" w:cs="Arial"/>
                <w:color w:val="000361"/>
                <w:sz w:val="20"/>
                <w:szCs w:val="20"/>
              </w:rPr>
              <w:t>............</w:t>
            </w:r>
            <w:r w:rsidR="00A01550" w:rsidRPr="004E038A">
              <w:rPr>
                <w:rFonts w:ascii="Arial" w:hAnsi="Arial" w:cs="Arial"/>
                <w:color w:val="000361"/>
                <w:sz w:val="20"/>
                <w:szCs w:val="20"/>
              </w:rPr>
              <w:t>..</w:t>
            </w:r>
          </w:p>
        </w:tc>
        <w:tc>
          <w:tcPr>
            <w:tcW w:w="469" w:type="dxa"/>
            <w:noWrap/>
          </w:tcPr>
          <w:p w:rsidR="00A01550" w:rsidRPr="004E038A" w:rsidRDefault="00775233" w:rsidP="00A01550">
            <w:pPr>
              <w:jc w:val="right"/>
              <w:rPr>
                <w:rFonts w:ascii="Arial" w:hAnsi="Arial" w:cs="Arial"/>
                <w:color w:val="000361"/>
                <w:sz w:val="20"/>
                <w:szCs w:val="20"/>
              </w:rPr>
            </w:pPr>
            <w:r>
              <w:rPr>
                <w:rFonts w:ascii="Arial" w:hAnsi="Arial" w:cs="Arial"/>
                <w:color w:val="000361"/>
                <w:sz w:val="20"/>
                <w:szCs w:val="20"/>
              </w:rPr>
              <w:t>24</w:t>
            </w:r>
          </w:p>
        </w:tc>
      </w:tr>
      <w:tr w:rsidR="00A01550" w:rsidRPr="004E038A" w:rsidTr="00B2588E">
        <w:trPr>
          <w:trHeight w:val="567"/>
        </w:trPr>
        <w:tc>
          <w:tcPr>
            <w:tcW w:w="842" w:type="dxa"/>
            <w:noWrap/>
          </w:tcPr>
          <w:p w:rsidR="00A01550" w:rsidRPr="004E038A" w:rsidRDefault="00A01550" w:rsidP="00A01550">
            <w:pPr>
              <w:rPr>
                <w:rFonts w:ascii="Arial" w:hAnsi="Arial" w:cs="Arial"/>
                <w:color w:val="000361"/>
                <w:sz w:val="20"/>
                <w:szCs w:val="20"/>
              </w:rPr>
            </w:pPr>
            <w:r w:rsidRPr="004E038A">
              <w:rPr>
                <w:rFonts w:ascii="Arial" w:hAnsi="Arial" w:cs="Arial"/>
                <w:color w:val="000361"/>
                <w:sz w:val="20"/>
                <w:szCs w:val="20"/>
              </w:rPr>
              <w:t>2.4.</w:t>
            </w:r>
          </w:p>
        </w:tc>
        <w:tc>
          <w:tcPr>
            <w:tcW w:w="7658" w:type="dxa"/>
            <w:noWrap/>
          </w:tcPr>
          <w:p w:rsidR="00A01550" w:rsidRPr="004E038A" w:rsidRDefault="00A01550" w:rsidP="00A01550">
            <w:pPr>
              <w:tabs>
                <w:tab w:val="right" w:leader="dot" w:pos="8142"/>
              </w:tabs>
              <w:rPr>
                <w:rFonts w:ascii="Arial" w:hAnsi="Arial" w:cs="Arial"/>
                <w:color w:val="000361"/>
                <w:sz w:val="20"/>
                <w:szCs w:val="20"/>
              </w:rPr>
            </w:pPr>
            <w:r w:rsidRPr="004E038A">
              <w:rPr>
                <w:rFonts w:ascii="Arial" w:hAnsi="Arial" w:cs="Arial"/>
                <w:color w:val="000361"/>
                <w:sz w:val="20"/>
                <w:szCs w:val="20"/>
              </w:rPr>
              <w:t>Anàlisi de la rendibilitat  ..........................................................................</w:t>
            </w:r>
            <w:r w:rsidR="008E6902" w:rsidRPr="004E038A">
              <w:rPr>
                <w:rFonts w:ascii="Arial" w:hAnsi="Arial" w:cs="Arial"/>
                <w:color w:val="000361"/>
                <w:sz w:val="20"/>
                <w:szCs w:val="20"/>
              </w:rPr>
              <w:t>...................</w:t>
            </w:r>
            <w:r w:rsidRPr="004E038A">
              <w:rPr>
                <w:rFonts w:ascii="Arial" w:hAnsi="Arial" w:cs="Arial"/>
                <w:color w:val="000361"/>
                <w:sz w:val="20"/>
                <w:szCs w:val="20"/>
              </w:rPr>
              <w:t>..</w:t>
            </w:r>
          </w:p>
        </w:tc>
        <w:tc>
          <w:tcPr>
            <w:tcW w:w="469" w:type="dxa"/>
            <w:noWrap/>
          </w:tcPr>
          <w:p w:rsidR="00A01550" w:rsidRPr="004E038A" w:rsidRDefault="00A01550" w:rsidP="00A01550">
            <w:pPr>
              <w:jc w:val="right"/>
              <w:rPr>
                <w:rFonts w:ascii="Arial" w:hAnsi="Arial" w:cs="Arial"/>
                <w:color w:val="000361"/>
                <w:sz w:val="20"/>
                <w:szCs w:val="20"/>
              </w:rPr>
            </w:pPr>
            <w:r w:rsidRPr="004E038A">
              <w:rPr>
                <w:rFonts w:ascii="Arial" w:hAnsi="Arial" w:cs="Arial"/>
                <w:color w:val="000361"/>
                <w:sz w:val="20"/>
                <w:szCs w:val="20"/>
              </w:rPr>
              <w:t>2</w:t>
            </w:r>
            <w:r w:rsidR="00A26DD0">
              <w:rPr>
                <w:rFonts w:ascii="Arial" w:hAnsi="Arial" w:cs="Arial"/>
                <w:color w:val="000361"/>
                <w:sz w:val="20"/>
                <w:szCs w:val="20"/>
              </w:rPr>
              <w:t>4</w:t>
            </w:r>
          </w:p>
        </w:tc>
      </w:tr>
      <w:tr w:rsidR="00EC34A1" w:rsidRPr="004E038A" w:rsidTr="00B2588E">
        <w:trPr>
          <w:trHeight w:val="567"/>
        </w:trPr>
        <w:tc>
          <w:tcPr>
            <w:tcW w:w="842" w:type="dxa"/>
            <w:noWrap/>
          </w:tcPr>
          <w:p w:rsidR="00EC34A1" w:rsidRPr="004E038A" w:rsidRDefault="00EC34A1" w:rsidP="00A01550">
            <w:pPr>
              <w:rPr>
                <w:rFonts w:ascii="Arial" w:hAnsi="Arial" w:cs="Arial"/>
                <w:color w:val="000361"/>
                <w:sz w:val="20"/>
                <w:szCs w:val="20"/>
              </w:rPr>
            </w:pPr>
            <w:r>
              <w:rPr>
                <w:rFonts w:ascii="Arial" w:hAnsi="Arial" w:cs="Arial"/>
                <w:color w:val="000361"/>
                <w:sz w:val="20"/>
                <w:szCs w:val="20"/>
              </w:rPr>
              <w:t>2.5.</w:t>
            </w:r>
          </w:p>
        </w:tc>
        <w:tc>
          <w:tcPr>
            <w:tcW w:w="7658" w:type="dxa"/>
            <w:noWrap/>
          </w:tcPr>
          <w:p w:rsidR="00EC34A1" w:rsidRPr="004E038A" w:rsidRDefault="00A12F82" w:rsidP="00A01550">
            <w:pPr>
              <w:tabs>
                <w:tab w:val="right" w:leader="dot" w:pos="8142"/>
              </w:tabs>
              <w:rPr>
                <w:rFonts w:ascii="Arial" w:hAnsi="Arial" w:cs="Arial"/>
                <w:color w:val="000361"/>
                <w:sz w:val="20"/>
                <w:szCs w:val="20"/>
              </w:rPr>
            </w:pPr>
            <w:r w:rsidRPr="004E038A">
              <w:rPr>
                <w:rFonts w:ascii="Arial" w:hAnsi="Arial" w:cs="Arial"/>
                <w:color w:val="000361"/>
                <w:sz w:val="20"/>
                <w:szCs w:val="20"/>
              </w:rPr>
              <w:t>Anàlisi de l’estat de canvis en el patrimoni net</w:t>
            </w:r>
            <w:r>
              <w:rPr>
                <w:rFonts w:ascii="Arial" w:hAnsi="Arial" w:cs="Arial"/>
                <w:color w:val="000361"/>
                <w:sz w:val="20"/>
                <w:szCs w:val="20"/>
              </w:rPr>
              <w:t xml:space="preserve"> </w:t>
            </w:r>
            <w:r w:rsidR="00EC34A1">
              <w:rPr>
                <w:rFonts w:ascii="Arial" w:hAnsi="Arial" w:cs="Arial"/>
                <w:color w:val="000361"/>
                <w:sz w:val="20"/>
                <w:szCs w:val="20"/>
              </w:rPr>
              <w:t>…………………………………………..</w:t>
            </w:r>
          </w:p>
        </w:tc>
        <w:tc>
          <w:tcPr>
            <w:tcW w:w="469" w:type="dxa"/>
            <w:noWrap/>
          </w:tcPr>
          <w:p w:rsidR="00EC34A1" w:rsidRPr="004E038A" w:rsidRDefault="00EC34A1" w:rsidP="00A01550">
            <w:pPr>
              <w:jc w:val="right"/>
              <w:rPr>
                <w:rFonts w:ascii="Arial" w:hAnsi="Arial" w:cs="Arial"/>
                <w:color w:val="000361"/>
                <w:sz w:val="20"/>
                <w:szCs w:val="20"/>
              </w:rPr>
            </w:pPr>
            <w:r>
              <w:rPr>
                <w:rFonts w:ascii="Arial" w:hAnsi="Arial" w:cs="Arial"/>
                <w:color w:val="000361"/>
                <w:sz w:val="20"/>
                <w:szCs w:val="20"/>
              </w:rPr>
              <w:t>25</w:t>
            </w:r>
          </w:p>
        </w:tc>
      </w:tr>
      <w:tr w:rsidR="00A01550" w:rsidRPr="004E038A" w:rsidTr="00B2588E">
        <w:trPr>
          <w:trHeight w:val="567"/>
        </w:trPr>
        <w:tc>
          <w:tcPr>
            <w:tcW w:w="842" w:type="dxa"/>
            <w:noWrap/>
          </w:tcPr>
          <w:p w:rsidR="00A01550" w:rsidRPr="004E038A" w:rsidRDefault="00A01550" w:rsidP="00A01550">
            <w:pPr>
              <w:rPr>
                <w:rFonts w:ascii="Arial" w:hAnsi="Arial" w:cs="Arial"/>
                <w:color w:val="000361"/>
                <w:sz w:val="20"/>
                <w:szCs w:val="20"/>
              </w:rPr>
            </w:pPr>
            <w:r w:rsidRPr="004E038A">
              <w:rPr>
                <w:rFonts w:ascii="Arial" w:hAnsi="Arial" w:cs="Arial"/>
                <w:color w:val="000361"/>
                <w:sz w:val="20"/>
                <w:szCs w:val="20"/>
              </w:rPr>
              <w:t>2.</w:t>
            </w:r>
            <w:r w:rsidR="00EC34A1">
              <w:rPr>
                <w:rFonts w:ascii="Arial" w:hAnsi="Arial" w:cs="Arial"/>
                <w:color w:val="000361"/>
                <w:sz w:val="20"/>
                <w:szCs w:val="20"/>
              </w:rPr>
              <w:t>6</w:t>
            </w:r>
            <w:r w:rsidRPr="004E038A">
              <w:rPr>
                <w:rFonts w:ascii="Arial" w:hAnsi="Arial" w:cs="Arial"/>
                <w:color w:val="000361"/>
                <w:sz w:val="20"/>
                <w:szCs w:val="20"/>
              </w:rPr>
              <w:t>.</w:t>
            </w:r>
          </w:p>
        </w:tc>
        <w:tc>
          <w:tcPr>
            <w:tcW w:w="7658" w:type="dxa"/>
            <w:noWrap/>
          </w:tcPr>
          <w:p w:rsidR="00A01550" w:rsidRPr="004E038A" w:rsidRDefault="00A12F82" w:rsidP="00A01550">
            <w:pPr>
              <w:tabs>
                <w:tab w:val="right" w:leader="dot" w:pos="8142"/>
              </w:tabs>
              <w:rPr>
                <w:rFonts w:ascii="Arial" w:hAnsi="Arial" w:cs="Arial"/>
                <w:color w:val="000361"/>
                <w:sz w:val="20"/>
                <w:szCs w:val="20"/>
              </w:rPr>
            </w:pPr>
            <w:r w:rsidRPr="004E038A">
              <w:rPr>
                <w:rFonts w:ascii="Arial" w:hAnsi="Arial" w:cs="Arial"/>
                <w:color w:val="000361"/>
                <w:sz w:val="20"/>
                <w:szCs w:val="20"/>
              </w:rPr>
              <w:t xml:space="preserve">Anàlisi de l’estat de fluxos d’efectiu </w:t>
            </w:r>
            <w:r>
              <w:rPr>
                <w:rFonts w:ascii="Arial" w:hAnsi="Arial" w:cs="Arial"/>
                <w:color w:val="000361"/>
                <w:sz w:val="20"/>
                <w:szCs w:val="20"/>
              </w:rPr>
              <w:t>...................</w:t>
            </w:r>
            <w:r w:rsidR="00A01550" w:rsidRPr="004E038A">
              <w:rPr>
                <w:rFonts w:ascii="Arial" w:hAnsi="Arial" w:cs="Arial"/>
                <w:color w:val="000361"/>
                <w:sz w:val="20"/>
                <w:szCs w:val="20"/>
              </w:rPr>
              <w:t>..........................................</w:t>
            </w:r>
            <w:r w:rsidR="008E6902" w:rsidRPr="004E038A">
              <w:rPr>
                <w:rFonts w:ascii="Arial" w:hAnsi="Arial" w:cs="Arial"/>
                <w:color w:val="000361"/>
                <w:sz w:val="20"/>
                <w:szCs w:val="20"/>
              </w:rPr>
              <w:t>.............</w:t>
            </w:r>
            <w:r w:rsidR="00A01550" w:rsidRPr="004E038A">
              <w:rPr>
                <w:rFonts w:ascii="Arial" w:hAnsi="Arial" w:cs="Arial"/>
                <w:color w:val="000361"/>
                <w:sz w:val="20"/>
                <w:szCs w:val="20"/>
              </w:rPr>
              <w:t>...</w:t>
            </w:r>
          </w:p>
        </w:tc>
        <w:tc>
          <w:tcPr>
            <w:tcW w:w="469" w:type="dxa"/>
            <w:noWrap/>
          </w:tcPr>
          <w:p w:rsidR="00A01550" w:rsidRPr="004E038A" w:rsidRDefault="00A01550" w:rsidP="00A01550">
            <w:pPr>
              <w:jc w:val="right"/>
              <w:rPr>
                <w:rFonts w:ascii="Arial" w:hAnsi="Arial" w:cs="Arial"/>
                <w:color w:val="000361"/>
                <w:sz w:val="20"/>
                <w:szCs w:val="20"/>
              </w:rPr>
            </w:pPr>
            <w:r w:rsidRPr="004E038A">
              <w:rPr>
                <w:rFonts w:ascii="Arial" w:hAnsi="Arial" w:cs="Arial"/>
                <w:color w:val="000361"/>
                <w:sz w:val="20"/>
                <w:szCs w:val="20"/>
              </w:rPr>
              <w:t>2</w:t>
            </w:r>
            <w:r w:rsidR="00A26DD0">
              <w:rPr>
                <w:rFonts w:ascii="Arial" w:hAnsi="Arial" w:cs="Arial"/>
                <w:color w:val="000361"/>
                <w:sz w:val="20"/>
                <w:szCs w:val="20"/>
              </w:rPr>
              <w:t>7</w:t>
            </w:r>
          </w:p>
        </w:tc>
      </w:tr>
      <w:tr w:rsidR="00A01550" w:rsidRPr="004E038A" w:rsidTr="00B2588E">
        <w:trPr>
          <w:trHeight w:val="567"/>
        </w:trPr>
        <w:tc>
          <w:tcPr>
            <w:tcW w:w="842" w:type="dxa"/>
            <w:noWrap/>
          </w:tcPr>
          <w:p w:rsidR="00A01550" w:rsidRPr="004E038A" w:rsidRDefault="00A01550" w:rsidP="00A01550">
            <w:pPr>
              <w:rPr>
                <w:rFonts w:ascii="Arial" w:hAnsi="Arial" w:cs="Arial"/>
                <w:color w:val="000361"/>
                <w:sz w:val="20"/>
                <w:szCs w:val="20"/>
              </w:rPr>
            </w:pPr>
            <w:r w:rsidRPr="004E038A">
              <w:rPr>
                <w:rFonts w:ascii="Arial" w:hAnsi="Arial" w:cs="Arial"/>
                <w:color w:val="000361"/>
                <w:sz w:val="20"/>
                <w:szCs w:val="20"/>
              </w:rPr>
              <w:t>2.</w:t>
            </w:r>
            <w:r w:rsidR="00EC34A1">
              <w:rPr>
                <w:rFonts w:ascii="Arial" w:hAnsi="Arial" w:cs="Arial"/>
                <w:color w:val="000361"/>
                <w:sz w:val="20"/>
                <w:szCs w:val="20"/>
              </w:rPr>
              <w:t>7</w:t>
            </w:r>
            <w:r w:rsidRPr="004E038A">
              <w:rPr>
                <w:rFonts w:ascii="Arial" w:hAnsi="Arial" w:cs="Arial"/>
                <w:color w:val="000361"/>
                <w:sz w:val="20"/>
                <w:szCs w:val="20"/>
              </w:rPr>
              <w:t>.</w:t>
            </w:r>
          </w:p>
        </w:tc>
        <w:tc>
          <w:tcPr>
            <w:tcW w:w="7658" w:type="dxa"/>
            <w:noWrap/>
          </w:tcPr>
          <w:p w:rsidR="00A01550" w:rsidRPr="004E038A" w:rsidRDefault="00A12F82" w:rsidP="00A12F82">
            <w:pPr>
              <w:jc w:val="both"/>
              <w:rPr>
                <w:rFonts w:ascii="Arial" w:hAnsi="Arial" w:cs="Arial"/>
                <w:color w:val="000361"/>
                <w:sz w:val="20"/>
                <w:szCs w:val="20"/>
              </w:rPr>
            </w:pPr>
            <w:r w:rsidRPr="00A12F82">
              <w:rPr>
                <w:rFonts w:ascii="Arial" w:hAnsi="Arial" w:cs="Arial"/>
                <w:color w:val="000361"/>
                <w:sz w:val="20"/>
                <w:szCs w:val="20"/>
              </w:rPr>
              <w:t>Punts forts i punts febles en l’anàlisi dels comptes anuals</w:t>
            </w:r>
            <w:r>
              <w:rPr>
                <w:rFonts w:ascii="Arial" w:hAnsi="Arial" w:cs="Arial"/>
                <w:color w:val="000361"/>
                <w:sz w:val="20"/>
                <w:szCs w:val="20"/>
              </w:rPr>
              <w:t xml:space="preserve"> ............................................</w:t>
            </w:r>
          </w:p>
        </w:tc>
        <w:tc>
          <w:tcPr>
            <w:tcW w:w="469" w:type="dxa"/>
            <w:noWrap/>
          </w:tcPr>
          <w:p w:rsidR="00A01550" w:rsidRPr="004E038A" w:rsidRDefault="00A01550" w:rsidP="00A01550">
            <w:pPr>
              <w:jc w:val="right"/>
              <w:rPr>
                <w:rFonts w:ascii="Arial" w:hAnsi="Arial" w:cs="Arial"/>
                <w:color w:val="000361"/>
                <w:sz w:val="20"/>
                <w:szCs w:val="20"/>
              </w:rPr>
            </w:pPr>
            <w:r w:rsidRPr="004E038A">
              <w:rPr>
                <w:rFonts w:ascii="Arial" w:hAnsi="Arial" w:cs="Arial"/>
                <w:color w:val="000361"/>
                <w:sz w:val="20"/>
                <w:szCs w:val="20"/>
              </w:rPr>
              <w:t>2</w:t>
            </w:r>
            <w:r w:rsidR="00A26DD0">
              <w:rPr>
                <w:rFonts w:ascii="Arial" w:hAnsi="Arial" w:cs="Arial"/>
                <w:color w:val="000361"/>
                <w:sz w:val="20"/>
                <w:szCs w:val="20"/>
              </w:rPr>
              <w:t>9</w:t>
            </w:r>
          </w:p>
        </w:tc>
      </w:tr>
      <w:tr w:rsidR="00A01550" w:rsidRPr="004E038A" w:rsidTr="00B2588E">
        <w:trPr>
          <w:trHeight w:val="567"/>
        </w:trPr>
        <w:tc>
          <w:tcPr>
            <w:tcW w:w="842" w:type="dxa"/>
            <w:noWrap/>
          </w:tcPr>
          <w:p w:rsidR="00A01550" w:rsidRPr="004E038A" w:rsidRDefault="00A01550" w:rsidP="00A01550">
            <w:pPr>
              <w:rPr>
                <w:rFonts w:ascii="Arial" w:hAnsi="Arial" w:cs="Arial"/>
                <w:color w:val="000361"/>
                <w:sz w:val="20"/>
                <w:szCs w:val="20"/>
              </w:rPr>
            </w:pPr>
          </w:p>
        </w:tc>
        <w:tc>
          <w:tcPr>
            <w:tcW w:w="7658" w:type="dxa"/>
            <w:noWrap/>
          </w:tcPr>
          <w:p w:rsidR="00A01550" w:rsidRPr="004E038A" w:rsidRDefault="00A01550" w:rsidP="00A01550">
            <w:pPr>
              <w:tabs>
                <w:tab w:val="right" w:leader="dot" w:pos="8142"/>
              </w:tabs>
              <w:rPr>
                <w:rFonts w:ascii="Arial" w:hAnsi="Arial" w:cs="Arial"/>
                <w:color w:val="000361"/>
                <w:sz w:val="20"/>
                <w:szCs w:val="20"/>
              </w:rPr>
            </w:pPr>
          </w:p>
        </w:tc>
        <w:tc>
          <w:tcPr>
            <w:tcW w:w="469" w:type="dxa"/>
            <w:noWrap/>
          </w:tcPr>
          <w:p w:rsidR="00A01550" w:rsidRPr="004E038A" w:rsidRDefault="00A01550" w:rsidP="00A01550">
            <w:pPr>
              <w:jc w:val="right"/>
              <w:rPr>
                <w:rFonts w:ascii="Arial" w:hAnsi="Arial" w:cs="Arial"/>
                <w:color w:val="000361"/>
                <w:sz w:val="20"/>
                <w:szCs w:val="20"/>
              </w:rPr>
            </w:pPr>
          </w:p>
        </w:tc>
      </w:tr>
    </w:tbl>
    <w:p w:rsidR="00E2763D" w:rsidRDefault="00E2763D">
      <w: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2"/>
        <w:gridCol w:w="7658"/>
        <w:gridCol w:w="469"/>
      </w:tblGrid>
      <w:tr w:rsidR="00A01550" w:rsidRPr="004E038A" w:rsidTr="00B2588E">
        <w:trPr>
          <w:trHeight w:val="567"/>
        </w:trPr>
        <w:tc>
          <w:tcPr>
            <w:tcW w:w="8500" w:type="dxa"/>
            <w:gridSpan w:val="2"/>
            <w:noWrap/>
          </w:tcPr>
          <w:p w:rsidR="00A01550" w:rsidRPr="004E038A" w:rsidRDefault="00A01550" w:rsidP="00A01550">
            <w:pPr>
              <w:pStyle w:val="Prrafodelista"/>
              <w:numPr>
                <w:ilvl w:val="0"/>
                <w:numId w:val="1"/>
              </w:numPr>
              <w:tabs>
                <w:tab w:val="right" w:leader="dot" w:pos="8142"/>
              </w:tabs>
              <w:ind w:left="308" w:hanging="284"/>
              <w:rPr>
                <w:rFonts w:ascii="Arial" w:hAnsi="Arial" w:cs="Arial"/>
                <w:b/>
                <w:color w:val="000361"/>
                <w:sz w:val="20"/>
                <w:szCs w:val="20"/>
              </w:rPr>
            </w:pPr>
            <w:r w:rsidRPr="004E038A">
              <w:rPr>
                <w:rFonts w:ascii="Arial" w:hAnsi="Arial" w:cs="Arial"/>
                <w:b/>
                <w:color w:val="000361"/>
                <w:sz w:val="20"/>
                <w:szCs w:val="20"/>
              </w:rPr>
              <w:lastRenderedPageBreak/>
              <w:t>Anàlisi sectorial  ...........................................................</w:t>
            </w:r>
            <w:r w:rsidR="008E6902" w:rsidRPr="004E038A">
              <w:rPr>
                <w:rFonts w:ascii="Arial" w:hAnsi="Arial" w:cs="Arial"/>
                <w:b/>
                <w:color w:val="000361"/>
                <w:sz w:val="20"/>
                <w:szCs w:val="20"/>
              </w:rPr>
              <w:t>................</w:t>
            </w:r>
            <w:r w:rsidRPr="004E038A">
              <w:rPr>
                <w:rFonts w:ascii="Arial" w:hAnsi="Arial" w:cs="Arial"/>
                <w:b/>
                <w:color w:val="000361"/>
                <w:sz w:val="20"/>
                <w:szCs w:val="20"/>
              </w:rPr>
              <w:t>......................................</w:t>
            </w:r>
          </w:p>
        </w:tc>
        <w:tc>
          <w:tcPr>
            <w:tcW w:w="469" w:type="dxa"/>
            <w:noWrap/>
          </w:tcPr>
          <w:p w:rsidR="00A01550" w:rsidRPr="004E038A" w:rsidRDefault="00A26DD0" w:rsidP="00A01550">
            <w:pPr>
              <w:jc w:val="right"/>
              <w:rPr>
                <w:rFonts w:ascii="Arial" w:hAnsi="Arial" w:cs="Arial"/>
                <w:b/>
                <w:color w:val="000361"/>
                <w:sz w:val="20"/>
                <w:szCs w:val="20"/>
              </w:rPr>
            </w:pPr>
            <w:r>
              <w:rPr>
                <w:rFonts w:ascii="Arial" w:hAnsi="Arial" w:cs="Arial"/>
                <w:b/>
                <w:color w:val="000361"/>
                <w:sz w:val="20"/>
                <w:szCs w:val="20"/>
              </w:rPr>
              <w:t>29</w:t>
            </w:r>
          </w:p>
        </w:tc>
      </w:tr>
      <w:tr w:rsidR="00A01550" w:rsidRPr="004E038A" w:rsidTr="00B2588E">
        <w:trPr>
          <w:trHeight w:val="567"/>
        </w:trPr>
        <w:tc>
          <w:tcPr>
            <w:tcW w:w="842" w:type="dxa"/>
            <w:noWrap/>
          </w:tcPr>
          <w:p w:rsidR="00A01550" w:rsidRPr="00E67FDA" w:rsidRDefault="00A01550" w:rsidP="00A01550">
            <w:pPr>
              <w:rPr>
                <w:rFonts w:ascii="Arial" w:hAnsi="Arial" w:cs="Arial"/>
                <w:color w:val="000361"/>
                <w:sz w:val="20"/>
                <w:szCs w:val="20"/>
              </w:rPr>
            </w:pPr>
            <w:r w:rsidRPr="00E67FDA">
              <w:rPr>
                <w:rFonts w:ascii="Arial" w:hAnsi="Arial" w:cs="Arial"/>
                <w:color w:val="000361"/>
                <w:sz w:val="20"/>
                <w:szCs w:val="20"/>
              </w:rPr>
              <w:t>3.1.</w:t>
            </w:r>
          </w:p>
        </w:tc>
        <w:tc>
          <w:tcPr>
            <w:tcW w:w="7658" w:type="dxa"/>
            <w:noWrap/>
          </w:tcPr>
          <w:p w:rsidR="00A01550" w:rsidRPr="00E67FDA" w:rsidRDefault="00A01550" w:rsidP="00A01550">
            <w:pPr>
              <w:tabs>
                <w:tab w:val="right" w:leader="dot" w:pos="8142"/>
              </w:tabs>
              <w:rPr>
                <w:rFonts w:ascii="Arial" w:hAnsi="Arial" w:cs="Arial"/>
                <w:color w:val="000361"/>
                <w:sz w:val="20"/>
                <w:szCs w:val="20"/>
              </w:rPr>
            </w:pPr>
            <w:r w:rsidRPr="00E67FDA">
              <w:rPr>
                <w:rFonts w:ascii="Arial" w:hAnsi="Arial" w:cs="Arial"/>
                <w:color w:val="000361"/>
                <w:sz w:val="20"/>
                <w:szCs w:val="20"/>
              </w:rPr>
              <w:t>Anàlisi de l’entorn general (econòmic i social)</w:t>
            </w:r>
            <w:r w:rsidR="00E01C26" w:rsidRPr="00E67FDA">
              <w:rPr>
                <w:rFonts w:ascii="Arial" w:hAnsi="Arial" w:cs="Arial"/>
                <w:color w:val="000361"/>
                <w:sz w:val="20"/>
                <w:szCs w:val="20"/>
              </w:rPr>
              <w:t xml:space="preserve"> </w:t>
            </w:r>
            <w:r w:rsidR="009276A2">
              <w:rPr>
                <w:rFonts w:ascii="Arial" w:hAnsi="Arial" w:cs="Arial"/>
                <w:color w:val="000361"/>
                <w:sz w:val="20"/>
                <w:szCs w:val="20"/>
              </w:rPr>
              <w:t>.................</w:t>
            </w:r>
            <w:r w:rsidR="00E01C26" w:rsidRPr="00E67FDA">
              <w:rPr>
                <w:rFonts w:ascii="Arial" w:hAnsi="Arial" w:cs="Arial"/>
                <w:color w:val="000361"/>
                <w:sz w:val="20"/>
                <w:szCs w:val="20"/>
              </w:rPr>
              <w:t>..</w:t>
            </w:r>
            <w:r w:rsidR="008E6902" w:rsidRPr="00E67FDA">
              <w:rPr>
                <w:rFonts w:ascii="Arial" w:hAnsi="Arial" w:cs="Arial"/>
                <w:color w:val="000361"/>
                <w:sz w:val="20"/>
                <w:szCs w:val="20"/>
              </w:rPr>
              <w:t>.......</w:t>
            </w:r>
            <w:r w:rsidRPr="00E67FDA">
              <w:rPr>
                <w:rFonts w:ascii="Arial" w:hAnsi="Arial" w:cs="Arial"/>
                <w:color w:val="000361"/>
                <w:sz w:val="20"/>
                <w:szCs w:val="20"/>
              </w:rPr>
              <w:t>............</w:t>
            </w:r>
            <w:r w:rsidR="00E67FDA">
              <w:rPr>
                <w:rFonts w:ascii="Arial" w:hAnsi="Arial" w:cs="Arial"/>
                <w:color w:val="000361"/>
                <w:sz w:val="20"/>
                <w:szCs w:val="20"/>
              </w:rPr>
              <w:t>.......</w:t>
            </w:r>
            <w:r w:rsidRPr="00E67FDA">
              <w:rPr>
                <w:rFonts w:ascii="Arial" w:hAnsi="Arial" w:cs="Arial"/>
                <w:color w:val="000361"/>
                <w:sz w:val="20"/>
                <w:szCs w:val="20"/>
              </w:rPr>
              <w:t>...............</w:t>
            </w:r>
          </w:p>
        </w:tc>
        <w:tc>
          <w:tcPr>
            <w:tcW w:w="469" w:type="dxa"/>
            <w:noWrap/>
          </w:tcPr>
          <w:p w:rsidR="00A01550" w:rsidRPr="00E67FDA" w:rsidRDefault="00A26DD0" w:rsidP="00A01550">
            <w:pPr>
              <w:jc w:val="right"/>
              <w:rPr>
                <w:rFonts w:ascii="Arial" w:hAnsi="Arial" w:cs="Arial"/>
                <w:color w:val="000361"/>
                <w:sz w:val="20"/>
                <w:szCs w:val="20"/>
              </w:rPr>
            </w:pPr>
            <w:r>
              <w:rPr>
                <w:rFonts w:ascii="Arial" w:hAnsi="Arial" w:cs="Arial"/>
                <w:color w:val="000361"/>
                <w:sz w:val="20"/>
                <w:szCs w:val="20"/>
              </w:rPr>
              <w:t>29</w:t>
            </w:r>
          </w:p>
        </w:tc>
      </w:tr>
      <w:tr w:rsidR="00A01550" w:rsidRPr="004E038A" w:rsidTr="00B2588E">
        <w:trPr>
          <w:trHeight w:val="567"/>
        </w:trPr>
        <w:tc>
          <w:tcPr>
            <w:tcW w:w="842" w:type="dxa"/>
            <w:noWrap/>
          </w:tcPr>
          <w:p w:rsidR="00A01550" w:rsidRPr="004E038A" w:rsidRDefault="00A01550" w:rsidP="00A01550">
            <w:pPr>
              <w:rPr>
                <w:rFonts w:ascii="Arial" w:hAnsi="Arial" w:cs="Arial"/>
                <w:color w:val="000361"/>
                <w:sz w:val="20"/>
                <w:szCs w:val="20"/>
              </w:rPr>
            </w:pPr>
            <w:r w:rsidRPr="004E038A">
              <w:rPr>
                <w:rFonts w:ascii="Arial" w:hAnsi="Arial" w:cs="Arial"/>
                <w:color w:val="000361"/>
                <w:sz w:val="20"/>
                <w:szCs w:val="20"/>
              </w:rPr>
              <w:t>3.2.</w:t>
            </w:r>
          </w:p>
        </w:tc>
        <w:tc>
          <w:tcPr>
            <w:tcW w:w="7658" w:type="dxa"/>
            <w:noWrap/>
          </w:tcPr>
          <w:p w:rsidR="00A01550" w:rsidRPr="004E038A" w:rsidRDefault="009276A2" w:rsidP="00A01550">
            <w:pPr>
              <w:tabs>
                <w:tab w:val="right" w:leader="dot" w:pos="8142"/>
              </w:tabs>
              <w:rPr>
                <w:rFonts w:ascii="Arial" w:hAnsi="Arial" w:cs="Arial"/>
                <w:color w:val="000361"/>
                <w:sz w:val="20"/>
                <w:szCs w:val="20"/>
              </w:rPr>
            </w:pPr>
            <w:r>
              <w:rPr>
                <w:rFonts w:ascii="Arial" w:hAnsi="Arial" w:cs="Arial"/>
                <w:color w:val="000361"/>
                <w:sz w:val="20"/>
                <w:szCs w:val="20"/>
              </w:rPr>
              <w:t>El s</w:t>
            </w:r>
            <w:r w:rsidR="00A01550" w:rsidRPr="004E038A">
              <w:rPr>
                <w:rFonts w:ascii="Arial" w:hAnsi="Arial" w:cs="Arial"/>
                <w:color w:val="000361"/>
                <w:sz w:val="20"/>
                <w:szCs w:val="20"/>
              </w:rPr>
              <w:t xml:space="preserve">ector farmacèutic </w:t>
            </w:r>
            <w:r>
              <w:rPr>
                <w:rFonts w:ascii="Arial" w:hAnsi="Arial" w:cs="Arial"/>
                <w:color w:val="000361"/>
                <w:sz w:val="20"/>
                <w:szCs w:val="20"/>
              </w:rPr>
              <w:t>...............</w:t>
            </w:r>
            <w:r w:rsidR="00A01550" w:rsidRPr="004E038A">
              <w:rPr>
                <w:rFonts w:ascii="Arial" w:hAnsi="Arial" w:cs="Arial"/>
                <w:color w:val="000361"/>
                <w:sz w:val="20"/>
                <w:szCs w:val="20"/>
              </w:rPr>
              <w:t>.......................................................................</w:t>
            </w:r>
            <w:r w:rsidR="008E6902" w:rsidRPr="004E038A">
              <w:rPr>
                <w:rFonts w:ascii="Arial" w:hAnsi="Arial" w:cs="Arial"/>
                <w:color w:val="000361"/>
                <w:sz w:val="20"/>
                <w:szCs w:val="20"/>
              </w:rPr>
              <w:t>............</w:t>
            </w:r>
            <w:r w:rsidR="00A01550" w:rsidRPr="004E038A">
              <w:rPr>
                <w:rFonts w:ascii="Arial" w:hAnsi="Arial" w:cs="Arial"/>
                <w:color w:val="000361"/>
                <w:sz w:val="20"/>
                <w:szCs w:val="20"/>
              </w:rPr>
              <w:t>.</w:t>
            </w:r>
          </w:p>
        </w:tc>
        <w:tc>
          <w:tcPr>
            <w:tcW w:w="469" w:type="dxa"/>
            <w:noWrap/>
          </w:tcPr>
          <w:p w:rsidR="00A01550" w:rsidRPr="004E038A" w:rsidRDefault="00A26DD0" w:rsidP="00A01550">
            <w:pPr>
              <w:jc w:val="right"/>
              <w:rPr>
                <w:rFonts w:ascii="Arial" w:hAnsi="Arial" w:cs="Arial"/>
                <w:color w:val="000361"/>
                <w:sz w:val="20"/>
                <w:szCs w:val="20"/>
              </w:rPr>
            </w:pPr>
            <w:r>
              <w:rPr>
                <w:rFonts w:ascii="Arial" w:hAnsi="Arial" w:cs="Arial"/>
                <w:color w:val="000361"/>
                <w:sz w:val="20"/>
                <w:szCs w:val="20"/>
              </w:rPr>
              <w:t>29</w:t>
            </w:r>
          </w:p>
        </w:tc>
      </w:tr>
      <w:tr w:rsidR="00A01550" w:rsidRPr="004E038A" w:rsidTr="00B2588E">
        <w:trPr>
          <w:trHeight w:val="567"/>
        </w:trPr>
        <w:tc>
          <w:tcPr>
            <w:tcW w:w="842" w:type="dxa"/>
            <w:noWrap/>
          </w:tcPr>
          <w:p w:rsidR="00A01550" w:rsidRPr="004E038A" w:rsidRDefault="00A01550" w:rsidP="00A01550">
            <w:pPr>
              <w:rPr>
                <w:rFonts w:ascii="Arial" w:hAnsi="Arial" w:cs="Arial"/>
                <w:color w:val="000361"/>
                <w:sz w:val="20"/>
                <w:szCs w:val="20"/>
              </w:rPr>
            </w:pPr>
            <w:r w:rsidRPr="004E038A">
              <w:rPr>
                <w:rFonts w:ascii="Arial" w:hAnsi="Arial" w:cs="Arial"/>
                <w:color w:val="000361"/>
                <w:sz w:val="20"/>
                <w:szCs w:val="20"/>
              </w:rPr>
              <w:t>3.</w:t>
            </w:r>
            <w:r w:rsidR="009276A2">
              <w:rPr>
                <w:rFonts w:ascii="Arial" w:hAnsi="Arial" w:cs="Arial"/>
                <w:color w:val="000361"/>
                <w:sz w:val="20"/>
                <w:szCs w:val="20"/>
              </w:rPr>
              <w:t>3</w:t>
            </w:r>
            <w:r w:rsidRPr="004E038A">
              <w:rPr>
                <w:rFonts w:ascii="Arial" w:hAnsi="Arial" w:cs="Arial"/>
                <w:color w:val="000361"/>
                <w:sz w:val="20"/>
                <w:szCs w:val="20"/>
              </w:rPr>
              <w:t>.</w:t>
            </w:r>
          </w:p>
        </w:tc>
        <w:tc>
          <w:tcPr>
            <w:tcW w:w="7658" w:type="dxa"/>
            <w:noWrap/>
          </w:tcPr>
          <w:p w:rsidR="00A01550" w:rsidRPr="004E038A" w:rsidRDefault="00A01550" w:rsidP="00A01550">
            <w:pPr>
              <w:tabs>
                <w:tab w:val="right" w:leader="dot" w:pos="8142"/>
              </w:tabs>
              <w:rPr>
                <w:rFonts w:ascii="Arial" w:hAnsi="Arial" w:cs="Arial"/>
                <w:color w:val="000361"/>
                <w:sz w:val="20"/>
                <w:szCs w:val="20"/>
              </w:rPr>
            </w:pPr>
            <w:r w:rsidRPr="004E038A">
              <w:rPr>
                <w:rFonts w:ascii="Arial" w:hAnsi="Arial" w:cs="Arial"/>
                <w:color w:val="000361"/>
                <w:sz w:val="20"/>
                <w:szCs w:val="20"/>
              </w:rPr>
              <w:t xml:space="preserve">Anàlisi dels sector farmacèutic de </w:t>
            </w:r>
            <w:r w:rsidR="00BA67AD" w:rsidRPr="004E038A">
              <w:rPr>
                <w:rFonts w:ascii="Arial" w:hAnsi="Arial" w:cs="Arial"/>
                <w:color w:val="000361"/>
                <w:sz w:val="20"/>
                <w:szCs w:val="20"/>
              </w:rPr>
              <w:t>S</w:t>
            </w:r>
            <w:r w:rsidRPr="004E038A">
              <w:rPr>
                <w:rFonts w:ascii="Arial" w:hAnsi="Arial" w:cs="Arial"/>
                <w:color w:val="000361"/>
                <w:sz w:val="20"/>
                <w:szCs w:val="20"/>
              </w:rPr>
              <w:t xml:space="preserve">alut </w:t>
            </w:r>
            <w:r w:rsidR="00BA67AD" w:rsidRPr="004E038A">
              <w:rPr>
                <w:rFonts w:ascii="Arial" w:hAnsi="Arial" w:cs="Arial"/>
                <w:color w:val="000361"/>
                <w:sz w:val="20"/>
                <w:szCs w:val="20"/>
              </w:rPr>
              <w:t>A</w:t>
            </w:r>
            <w:r w:rsidRPr="004E038A">
              <w:rPr>
                <w:rFonts w:ascii="Arial" w:hAnsi="Arial" w:cs="Arial"/>
                <w:color w:val="000361"/>
                <w:sz w:val="20"/>
                <w:szCs w:val="20"/>
              </w:rPr>
              <w:t>nimal ............................................</w:t>
            </w:r>
            <w:r w:rsidR="008E6902" w:rsidRPr="004E038A">
              <w:rPr>
                <w:rFonts w:ascii="Arial" w:hAnsi="Arial" w:cs="Arial"/>
                <w:color w:val="000361"/>
                <w:sz w:val="20"/>
                <w:szCs w:val="20"/>
              </w:rPr>
              <w:t>............</w:t>
            </w:r>
            <w:r w:rsidRPr="004E038A">
              <w:rPr>
                <w:rFonts w:ascii="Arial" w:hAnsi="Arial" w:cs="Arial"/>
                <w:color w:val="000361"/>
                <w:sz w:val="20"/>
                <w:szCs w:val="20"/>
              </w:rPr>
              <w:t>.</w:t>
            </w:r>
          </w:p>
        </w:tc>
        <w:tc>
          <w:tcPr>
            <w:tcW w:w="469" w:type="dxa"/>
            <w:noWrap/>
          </w:tcPr>
          <w:p w:rsidR="00A01550" w:rsidRPr="004E038A" w:rsidRDefault="00775233" w:rsidP="00A01550">
            <w:pPr>
              <w:jc w:val="right"/>
              <w:rPr>
                <w:rFonts w:ascii="Arial" w:hAnsi="Arial" w:cs="Arial"/>
                <w:color w:val="000361"/>
                <w:sz w:val="20"/>
                <w:szCs w:val="20"/>
              </w:rPr>
            </w:pPr>
            <w:r>
              <w:rPr>
                <w:rFonts w:ascii="Arial" w:hAnsi="Arial" w:cs="Arial"/>
                <w:color w:val="000361"/>
                <w:sz w:val="20"/>
                <w:szCs w:val="20"/>
              </w:rPr>
              <w:t>3</w:t>
            </w:r>
            <w:r w:rsidR="00A26DD0">
              <w:rPr>
                <w:rFonts w:ascii="Arial" w:hAnsi="Arial" w:cs="Arial"/>
                <w:color w:val="000361"/>
                <w:sz w:val="20"/>
                <w:szCs w:val="20"/>
              </w:rPr>
              <w:t>0</w:t>
            </w:r>
          </w:p>
        </w:tc>
      </w:tr>
      <w:tr w:rsidR="00A01550" w:rsidRPr="004E038A" w:rsidTr="00B2588E">
        <w:trPr>
          <w:trHeight w:val="567"/>
        </w:trPr>
        <w:tc>
          <w:tcPr>
            <w:tcW w:w="842" w:type="dxa"/>
            <w:noWrap/>
          </w:tcPr>
          <w:p w:rsidR="00A01550" w:rsidRPr="00E67FDA" w:rsidRDefault="00A01550" w:rsidP="00A01550">
            <w:pPr>
              <w:rPr>
                <w:rFonts w:ascii="Arial" w:hAnsi="Arial" w:cs="Arial"/>
                <w:color w:val="000361"/>
                <w:sz w:val="20"/>
                <w:szCs w:val="20"/>
              </w:rPr>
            </w:pPr>
            <w:r w:rsidRPr="00E67FDA">
              <w:rPr>
                <w:rFonts w:ascii="Arial" w:hAnsi="Arial" w:cs="Arial"/>
                <w:color w:val="000361"/>
                <w:sz w:val="20"/>
                <w:szCs w:val="20"/>
              </w:rPr>
              <w:t>3.</w:t>
            </w:r>
            <w:r w:rsidR="009276A2">
              <w:rPr>
                <w:rFonts w:ascii="Arial" w:hAnsi="Arial" w:cs="Arial"/>
                <w:color w:val="000361"/>
                <w:sz w:val="20"/>
                <w:szCs w:val="20"/>
              </w:rPr>
              <w:t>4</w:t>
            </w:r>
            <w:r w:rsidRPr="00E67FDA">
              <w:rPr>
                <w:rFonts w:ascii="Arial" w:hAnsi="Arial" w:cs="Arial"/>
                <w:color w:val="000361"/>
                <w:sz w:val="20"/>
                <w:szCs w:val="20"/>
              </w:rPr>
              <w:t>.</w:t>
            </w:r>
          </w:p>
        </w:tc>
        <w:tc>
          <w:tcPr>
            <w:tcW w:w="7658" w:type="dxa"/>
            <w:noWrap/>
          </w:tcPr>
          <w:p w:rsidR="00A01550" w:rsidRPr="00E67FDA" w:rsidRDefault="00A01550" w:rsidP="00A01550">
            <w:pPr>
              <w:tabs>
                <w:tab w:val="right" w:leader="dot" w:pos="8142"/>
              </w:tabs>
              <w:rPr>
                <w:rFonts w:ascii="Arial" w:hAnsi="Arial" w:cs="Arial"/>
                <w:color w:val="000361"/>
                <w:sz w:val="20"/>
                <w:szCs w:val="20"/>
              </w:rPr>
            </w:pPr>
            <w:r w:rsidRPr="00E67FDA">
              <w:rPr>
                <w:rFonts w:ascii="Arial" w:hAnsi="Arial" w:cs="Arial"/>
                <w:color w:val="000361"/>
                <w:sz w:val="20"/>
                <w:szCs w:val="20"/>
              </w:rPr>
              <w:t xml:space="preserve">Anàlisi de l’evolució dels principals indicadors del sector </w:t>
            </w:r>
            <w:r w:rsidR="009276A2">
              <w:rPr>
                <w:rFonts w:ascii="Arial" w:hAnsi="Arial" w:cs="Arial"/>
                <w:color w:val="000361"/>
                <w:sz w:val="20"/>
                <w:szCs w:val="20"/>
              </w:rPr>
              <w:t>de Salut Animal</w:t>
            </w:r>
            <w:r w:rsidRPr="00E67FDA">
              <w:rPr>
                <w:rFonts w:ascii="Arial" w:hAnsi="Arial" w:cs="Arial"/>
                <w:color w:val="000361"/>
                <w:sz w:val="20"/>
                <w:szCs w:val="20"/>
              </w:rPr>
              <w:t xml:space="preserve"> </w:t>
            </w:r>
            <w:r w:rsidR="00E67FDA">
              <w:rPr>
                <w:rFonts w:ascii="Arial" w:hAnsi="Arial" w:cs="Arial"/>
                <w:color w:val="000361"/>
                <w:sz w:val="20"/>
                <w:szCs w:val="20"/>
              </w:rPr>
              <w:t>.......</w:t>
            </w:r>
            <w:r w:rsidRPr="00E67FDA">
              <w:rPr>
                <w:rFonts w:ascii="Arial" w:hAnsi="Arial" w:cs="Arial"/>
                <w:color w:val="000361"/>
                <w:sz w:val="20"/>
                <w:szCs w:val="20"/>
              </w:rPr>
              <w:t>.</w:t>
            </w:r>
            <w:r w:rsidR="008E6902" w:rsidRPr="00E67FDA">
              <w:rPr>
                <w:rFonts w:ascii="Arial" w:hAnsi="Arial" w:cs="Arial"/>
                <w:color w:val="000361"/>
                <w:sz w:val="20"/>
                <w:szCs w:val="20"/>
              </w:rPr>
              <w:t>.......</w:t>
            </w:r>
            <w:r w:rsidRPr="00E67FDA">
              <w:rPr>
                <w:rFonts w:ascii="Arial" w:hAnsi="Arial" w:cs="Arial"/>
                <w:color w:val="000361"/>
                <w:sz w:val="20"/>
                <w:szCs w:val="20"/>
              </w:rPr>
              <w:t>..</w:t>
            </w:r>
          </w:p>
        </w:tc>
        <w:tc>
          <w:tcPr>
            <w:tcW w:w="469" w:type="dxa"/>
            <w:noWrap/>
          </w:tcPr>
          <w:p w:rsidR="00A01550" w:rsidRPr="00E67FDA" w:rsidRDefault="00A01550" w:rsidP="00A01550">
            <w:pPr>
              <w:jc w:val="right"/>
              <w:rPr>
                <w:rFonts w:ascii="Arial" w:hAnsi="Arial" w:cs="Arial"/>
                <w:color w:val="000361"/>
                <w:sz w:val="20"/>
                <w:szCs w:val="20"/>
              </w:rPr>
            </w:pPr>
            <w:r w:rsidRPr="00E67FDA">
              <w:rPr>
                <w:rFonts w:ascii="Arial" w:hAnsi="Arial" w:cs="Arial"/>
                <w:color w:val="000361"/>
                <w:sz w:val="20"/>
                <w:szCs w:val="20"/>
              </w:rPr>
              <w:t>3</w:t>
            </w:r>
            <w:r w:rsidR="00A26DD0">
              <w:rPr>
                <w:rFonts w:ascii="Arial" w:hAnsi="Arial" w:cs="Arial"/>
                <w:color w:val="000361"/>
                <w:sz w:val="20"/>
                <w:szCs w:val="20"/>
              </w:rPr>
              <w:t>2</w:t>
            </w:r>
          </w:p>
        </w:tc>
      </w:tr>
      <w:tr w:rsidR="00A01550" w:rsidRPr="004E038A" w:rsidTr="00B2588E">
        <w:trPr>
          <w:trHeight w:val="567"/>
        </w:trPr>
        <w:tc>
          <w:tcPr>
            <w:tcW w:w="842" w:type="dxa"/>
            <w:noWrap/>
          </w:tcPr>
          <w:p w:rsidR="00A01550" w:rsidRPr="004E038A" w:rsidRDefault="00A01550" w:rsidP="00A01550">
            <w:pPr>
              <w:rPr>
                <w:rFonts w:ascii="Arial" w:hAnsi="Arial" w:cs="Arial"/>
                <w:color w:val="000361"/>
                <w:sz w:val="20"/>
                <w:szCs w:val="20"/>
              </w:rPr>
            </w:pPr>
            <w:r w:rsidRPr="004E038A">
              <w:rPr>
                <w:rFonts w:ascii="Arial" w:hAnsi="Arial" w:cs="Arial"/>
                <w:color w:val="000361"/>
                <w:sz w:val="20"/>
                <w:szCs w:val="20"/>
              </w:rPr>
              <w:t>3.</w:t>
            </w:r>
            <w:r w:rsidR="009276A2">
              <w:rPr>
                <w:rFonts w:ascii="Arial" w:hAnsi="Arial" w:cs="Arial"/>
                <w:color w:val="000361"/>
                <w:sz w:val="20"/>
                <w:szCs w:val="20"/>
              </w:rPr>
              <w:t>4</w:t>
            </w:r>
            <w:r w:rsidRPr="004E038A">
              <w:rPr>
                <w:rFonts w:ascii="Arial" w:hAnsi="Arial" w:cs="Arial"/>
                <w:color w:val="000361"/>
                <w:sz w:val="20"/>
                <w:szCs w:val="20"/>
              </w:rPr>
              <w:t>.1.</w:t>
            </w:r>
          </w:p>
        </w:tc>
        <w:tc>
          <w:tcPr>
            <w:tcW w:w="7658" w:type="dxa"/>
            <w:noWrap/>
          </w:tcPr>
          <w:p w:rsidR="00A01550" w:rsidRPr="004E038A" w:rsidRDefault="00A01550" w:rsidP="00A01550">
            <w:pPr>
              <w:tabs>
                <w:tab w:val="right" w:leader="dot" w:pos="8142"/>
              </w:tabs>
              <w:rPr>
                <w:rFonts w:ascii="Arial" w:hAnsi="Arial" w:cs="Arial"/>
                <w:color w:val="000361"/>
                <w:sz w:val="20"/>
                <w:szCs w:val="20"/>
              </w:rPr>
            </w:pPr>
            <w:r w:rsidRPr="004E038A">
              <w:rPr>
                <w:rFonts w:ascii="Arial" w:hAnsi="Arial" w:cs="Arial"/>
                <w:color w:val="000361"/>
                <w:sz w:val="20"/>
                <w:szCs w:val="20"/>
              </w:rPr>
              <w:t>Posició sectorial  ...........................................................................................</w:t>
            </w:r>
            <w:r w:rsidR="008E6902" w:rsidRPr="004E038A">
              <w:rPr>
                <w:rFonts w:ascii="Arial" w:hAnsi="Arial" w:cs="Arial"/>
                <w:color w:val="000361"/>
                <w:sz w:val="20"/>
                <w:szCs w:val="20"/>
              </w:rPr>
              <w:t>...........</w:t>
            </w:r>
            <w:r w:rsidRPr="004E038A">
              <w:rPr>
                <w:rFonts w:ascii="Arial" w:hAnsi="Arial" w:cs="Arial"/>
                <w:color w:val="000361"/>
                <w:sz w:val="20"/>
                <w:szCs w:val="20"/>
              </w:rPr>
              <w:t>...</w:t>
            </w:r>
          </w:p>
        </w:tc>
        <w:tc>
          <w:tcPr>
            <w:tcW w:w="469" w:type="dxa"/>
            <w:noWrap/>
          </w:tcPr>
          <w:p w:rsidR="00A01550" w:rsidRPr="004E038A" w:rsidRDefault="00A01550" w:rsidP="00A01550">
            <w:pPr>
              <w:jc w:val="right"/>
              <w:rPr>
                <w:rFonts w:ascii="Arial" w:hAnsi="Arial" w:cs="Arial"/>
                <w:color w:val="000361"/>
                <w:sz w:val="20"/>
                <w:szCs w:val="20"/>
              </w:rPr>
            </w:pPr>
            <w:r w:rsidRPr="004E038A">
              <w:rPr>
                <w:rFonts w:ascii="Arial" w:hAnsi="Arial" w:cs="Arial"/>
                <w:color w:val="000361"/>
                <w:sz w:val="20"/>
                <w:szCs w:val="20"/>
              </w:rPr>
              <w:t>3</w:t>
            </w:r>
            <w:r w:rsidR="00A26DD0">
              <w:rPr>
                <w:rFonts w:ascii="Arial" w:hAnsi="Arial" w:cs="Arial"/>
                <w:color w:val="000361"/>
                <w:sz w:val="20"/>
                <w:szCs w:val="20"/>
              </w:rPr>
              <w:t>2</w:t>
            </w:r>
          </w:p>
        </w:tc>
      </w:tr>
      <w:tr w:rsidR="00A01550" w:rsidRPr="004E038A" w:rsidTr="00B2588E">
        <w:trPr>
          <w:trHeight w:val="567"/>
        </w:trPr>
        <w:tc>
          <w:tcPr>
            <w:tcW w:w="842" w:type="dxa"/>
            <w:noWrap/>
          </w:tcPr>
          <w:p w:rsidR="00A01550" w:rsidRPr="004E038A" w:rsidRDefault="00A01550" w:rsidP="00A01550">
            <w:pPr>
              <w:rPr>
                <w:rFonts w:ascii="Arial" w:hAnsi="Arial" w:cs="Arial"/>
                <w:color w:val="000361"/>
                <w:sz w:val="20"/>
                <w:szCs w:val="20"/>
              </w:rPr>
            </w:pPr>
            <w:r w:rsidRPr="004E038A">
              <w:rPr>
                <w:rFonts w:ascii="Arial" w:hAnsi="Arial" w:cs="Arial"/>
                <w:color w:val="000361"/>
                <w:sz w:val="20"/>
                <w:szCs w:val="20"/>
              </w:rPr>
              <w:t>3.</w:t>
            </w:r>
            <w:r w:rsidR="009276A2">
              <w:rPr>
                <w:rFonts w:ascii="Arial" w:hAnsi="Arial" w:cs="Arial"/>
                <w:color w:val="000361"/>
                <w:sz w:val="20"/>
                <w:szCs w:val="20"/>
              </w:rPr>
              <w:t>4</w:t>
            </w:r>
            <w:r w:rsidRPr="004E038A">
              <w:rPr>
                <w:rFonts w:ascii="Arial" w:hAnsi="Arial" w:cs="Arial"/>
                <w:color w:val="000361"/>
                <w:sz w:val="20"/>
                <w:szCs w:val="20"/>
              </w:rPr>
              <w:t>.2.</w:t>
            </w:r>
          </w:p>
        </w:tc>
        <w:tc>
          <w:tcPr>
            <w:tcW w:w="7658" w:type="dxa"/>
            <w:noWrap/>
          </w:tcPr>
          <w:p w:rsidR="00A01550" w:rsidRPr="004E038A" w:rsidRDefault="00A26DD0" w:rsidP="00A01550">
            <w:pPr>
              <w:tabs>
                <w:tab w:val="right" w:leader="dot" w:pos="8142"/>
              </w:tabs>
              <w:rPr>
                <w:rFonts w:ascii="Arial" w:hAnsi="Arial" w:cs="Arial"/>
                <w:color w:val="000361"/>
                <w:sz w:val="20"/>
                <w:szCs w:val="20"/>
              </w:rPr>
            </w:pPr>
            <w:r>
              <w:rPr>
                <w:rFonts w:ascii="Arial" w:hAnsi="Arial" w:cs="Arial"/>
                <w:color w:val="000361"/>
                <w:sz w:val="20"/>
                <w:szCs w:val="20"/>
              </w:rPr>
              <w:t>Estrructura econòmica i financera</w:t>
            </w:r>
            <w:r w:rsidR="00A01550" w:rsidRPr="004E038A">
              <w:rPr>
                <w:rFonts w:ascii="Arial" w:hAnsi="Arial" w:cs="Arial"/>
                <w:color w:val="000361"/>
                <w:sz w:val="20"/>
                <w:szCs w:val="20"/>
              </w:rPr>
              <w:t xml:space="preserve"> ..................................................................</w:t>
            </w:r>
            <w:r w:rsidR="008E6902" w:rsidRPr="004E038A">
              <w:rPr>
                <w:rFonts w:ascii="Arial" w:hAnsi="Arial" w:cs="Arial"/>
                <w:color w:val="000361"/>
                <w:sz w:val="20"/>
                <w:szCs w:val="20"/>
              </w:rPr>
              <w:t>...........</w:t>
            </w:r>
            <w:r w:rsidR="00A01550" w:rsidRPr="004E038A">
              <w:rPr>
                <w:rFonts w:ascii="Arial" w:hAnsi="Arial" w:cs="Arial"/>
                <w:color w:val="000361"/>
                <w:sz w:val="20"/>
                <w:szCs w:val="20"/>
              </w:rPr>
              <w:t>..</w:t>
            </w:r>
          </w:p>
        </w:tc>
        <w:tc>
          <w:tcPr>
            <w:tcW w:w="469" w:type="dxa"/>
            <w:noWrap/>
          </w:tcPr>
          <w:p w:rsidR="00A01550" w:rsidRPr="004E038A" w:rsidRDefault="00A01550" w:rsidP="00A01550">
            <w:pPr>
              <w:jc w:val="right"/>
              <w:rPr>
                <w:rFonts w:ascii="Arial" w:hAnsi="Arial" w:cs="Arial"/>
                <w:color w:val="000361"/>
                <w:sz w:val="20"/>
                <w:szCs w:val="20"/>
              </w:rPr>
            </w:pPr>
            <w:r w:rsidRPr="004E038A">
              <w:rPr>
                <w:rFonts w:ascii="Arial" w:hAnsi="Arial" w:cs="Arial"/>
                <w:color w:val="000361"/>
                <w:sz w:val="20"/>
                <w:szCs w:val="20"/>
              </w:rPr>
              <w:t>3</w:t>
            </w:r>
            <w:r w:rsidR="00A26DD0">
              <w:rPr>
                <w:rFonts w:ascii="Arial" w:hAnsi="Arial" w:cs="Arial"/>
                <w:color w:val="000361"/>
                <w:sz w:val="20"/>
                <w:szCs w:val="20"/>
              </w:rPr>
              <w:t>2</w:t>
            </w:r>
          </w:p>
        </w:tc>
      </w:tr>
      <w:tr w:rsidR="00A26DD0" w:rsidRPr="004E038A" w:rsidTr="00B2588E">
        <w:trPr>
          <w:trHeight w:val="567"/>
        </w:trPr>
        <w:tc>
          <w:tcPr>
            <w:tcW w:w="842" w:type="dxa"/>
            <w:noWrap/>
          </w:tcPr>
          <w:p w:rsidR="00A26DD0" w:rsidRPr="004E038A" w:rsidRDefault="00A26DD0" w:rsidP="00A01550">
            <w:pPr>
              <w:rPr>
                <w:rFonts w:ascii="Arial" w:hAnsi="Arial" w:cs="Arial"/>
                <w:color w:val="000361"/>
                <w:sz w:val="20"/>
                <w:szCs w:val="20"/>
              </w:rPr>
            </w:pPr>
            <w:r>
              <w:rPr>
                <w:rFonts w:ascii="Arial" w:hAnsi="Arial" w:cs="Arial"/>
                <w:color w:val="000361"/>
                <w:sz w:val="20"/>
                <w:szCs w:val="20"/>
              </w:rPr>
              <w:t>3.4.3.</w:t>
            </w:r>
          </w:p>
        </w:tc>
        <w:tc>
          <w:tcPr>
            <w:tcW w:w="7658" w:type="dxa"/>
            <w:noWrap/>
          </w:tcPr>
          <w:p w:rsidR="00A26DD0" w:rsidRPr="004E038A" w:rsidRDefault="00A26DD0" w:rsidP="00A01550">
            <w:pPr>
              <w:tabs>
                <w:tab w:val="right" w:leader="dot" w:pos="8142"/>
              </w:tabs>
              <w:rPr>
                <w:rFonts w:ascii="Arial" w:hAnsi="Arial" w:cs="Arial"/>
                <w:color w:val="000361"/>
                <w:sz w:val="20"/>
                <w:szCs w:val="20"/>
              </w:rPr>
            </w:pPr>
            <w:r w:rsidRPr="004E038A">
              <w:rPr>
                <w:rFonts w:ascii="Arial" w:hAnsi="Arial" w:cs="Arial"/>
                <w:color w:val="000361"/>
                <w:sz w:val="20"/>
                <w:szCs w:val="20"/>
              </w:rPr>
              <w:t>R</w:t>
            </w:r>
            <w:r>
              <w:rPr>
                <w:rFonts w:ascii="Arial" w:hAnsi="Arial" w:cs="Arial"/>
                <w:color w:val="000361"/>
                <w:sz w:val="20"/>
                <w:szCs w:val="20"/>
              </w:rPr>
              <w:t>à</w:t>
            </w:r>
            <w:r w:rsidRPr="004E038A">
              <w:rPr>
                <w:rFonts w:ascii="Arial" w:hAnsi="Arial" w:cs="Arial"/>
                <w:color w:val="000361"/>
                <w:sz w:val="20"/>
                <w:szCs w:val="20"/>
              </w:rPr>
              <w:t>tios econòmiques i financeres  ...............................................................................</w:t>
            </w:r>
          </w:p>
        </w:tc>
        <w:tc>
          <w:tcPr>
            <w:tcW w:w="469" w:type="dxa"/>
            <w:noWrap/>
          </w:tcPr>
          <w:p w:rsidR="00A26DD0" w:rsidRPr="004E038A" w:rsidRDefault="00A26DD0" w:rsidP="00A01550">
            <w:pPr>
              <w:jc w:val="right"/>
              <w:rPr>
                <w:rFonts w:ascii="Arial" w:hAnsi="Arial" w:cs="Arial"/>
                <w:color w:val="000361"/>
                <w:sz w:val="20"/>
                <w:szCs w:val="20"/>
              </w:rPr>
            </w:pPr>
            <w:r>
              <w:rPr>
                <w:rFonts w:ascii="Arial" w:hAnsi="Arial" w:cs="Arial"/>
                <w:color w:val="000361"/>
                <w:sz w:val="20"/>
                <w:szCs w:val="20"/>
              </w:rPr>
              <w:t>34</w:t>
            </w:r>
          </w:p>
        </w:tc>
      </w:tr>
      <w:tr w:rsidR="000E56E6" w:rsidRPr="004E038A" w:rsidTr="00B2588E">
        <w:trPr>
          <w:trHeight w:val="567"/>
        </w:trPr>
        <w:tc>
          <w:tcPr>
            <w:tcW w:w="842" w:type="dxa"/>
            <w:noWrap/>
          </w:tcPr>
          <w:p w:rsidR="000E56E6" w:rsidRPr="004E038A" w:rsidRDefault="000E56E6" w:rsidP="00A01550">
            <w:pPr>
              <w:rPr>
                <w:rFonts w:ascii="Arial" w:hAnsi="Arial" w:cs="Arial"/>
                <w:color w:val="000361"/>
                <w:sz w:val="20"/>
                <w:szCs w:val="20"/>
              </w:rPr>
            </w:pPr>
            <w:r>
              <w:rPr>
                <w:rFonts w:ascii="Arial" w:hAnsi="Arial" w:cs="Arial"/>
                <w:color w:val="000361"/>
                <w:sz w:val="20"/>
                <w:szCs w:val="20"/>
              </w:rPr>
              <w:t>3.4.</w:t>
            </w:r>
            <w:r w:rsidR="00A26DD0">
              <w:rPr>
                <w:rFonts w:ascii="Arial" w:hAnsi="Arial" w:cs="Arial"/>
                <w:color w:val="000361"/>
                <w:sz w:val="20"/>
                <w:szCs w:val="20"/>
              </w:rPr>
              <w:t>4.</w:t>
            </w:r>
          </w:p>
        </w:tc>
        <w:tc>
          <w:tcPr>
            <w:tcW w:w="7658" w:type="dxa"/>
            <w:noWrap/>
          </w:tcPr>
          <w:p w:rsidR="000E56E6" w:rsidRPr="004E038A" w:rsidRDefault="000E56E6" w:rsidP="00A01550">
            <w:pPr>
              <w:tabs>
                <w:tab w:val="right" w:leader="dot" w:pos="8142"/>
              </w:tabs>
              <w:rPr>
                <w:rFonts w:ascii="Arial" w:hAnsi="Arial" w:cs="Arial"/>
                <w:color w:val="000361"/>
                <w:sz w:val="20"/>
                <w:szCs w:val="20"/>
              </w:rPr>
            </w:pPr>
            <w:r>
              <w:rPr>
                <w:rFonts w:ascii="Arial" w:hAnsi="Arial" w:cs="Arial"/>
                <w:color w:val="000361"/>
                <w:sz w:val="20"/>
                <w:szCs w:val="20"/>
              </w:rPr>
              <w:t xml:space="preserve">Recull dels aspectes més rellevants del sector </w:t>
            </w:r>
            <w:r w:rsidR="003F3A8A">
              <w:rPr>
                <w:rFonts w:ascii="Arial" w:hAnsi="Arial" w:cs="Arial"/>
                <w:color w:val="000361"/>
                <w:sz w:val="20"/>
                <w:szCs w:val="20"/>
              </w:rPr>
              <w:t>.....................................................</w:t>
            </w:r>
            <w:r>
              <w:rPr>
                <w:rFonts w:ascii="Arial" w:hAnsi="Arial" w:cs="Arial"/>
                <w:color w:val="000361"/>
                <w:sz w:val="20"/>
                <w:szCs w:val="20"/>
              </w:rPr>
              <w:t>…..</w:t>
            </w:r>
          </w:p>
        </w:tc>
        <w:tc>
          <w:tcPr>
            <w:tcW w:w="469" w:type="dxa"/>
            <w:noWrap/>
          </w:tcPr>
          <w:p w:rsidR="000E56E6" w:rsidRPr="004E038A" w:rsidRDefault="000E56E6" w:rsidP="00A01550">
            <w:pPr>
              <w:jc w:val="right"/>
              <w:rPr>
                <w:rFonts w:ascii="Arial" w:hAnsi="Arial" w:cs="Arial"/>
                <w:color w:val="000361"/>
                <w:sz w:val="20"/>
                <w:szCs w:val="20"/>
              </w:rPr>
            </w:pPr>
            <w:r>
              <w:rPr>
                <w:rFonts w:ascii="Arial" w:hAnsi="Arial" w:cs="Arial"/>
                <w:color w:val="000361"/>
                <w:sz w:val="20"/>
                <w:szCs w:val="20"/>
              </w:rPr>
              <w:t>4</w:t>
            </w:r>
            <w:r w:rsidR="00A26DD0">
              <w:rPr>
                <w:rFonts w:ascii="Arial" w:hAnsi="Arial" w:cs="Arial"/>
                <w:color w:val="000361"/>
                <w:sz w:val="20"/>
                <w:szCs w:val="20"/>
              </w:rPr>
              <w:t>1</w:t>
            </w:r>
          </w:p>
        </w:tc>
      </w:tr>
      <w:tr w:rsidR="00A01550" w:rsidRPr="004E038A" w:rsidTr="00B2588E">
        <w:trPr>
          <w:trHeight w:val="567"/>
        </w:trPr>
        <w:tc>
          <w:tcPr>
            <w:tcW w:w="842" w:type="dxa"/>
            <w:noWrap/>
          </w:tcPr>
          <w:p w:rsidR="00A01550" w:rsidRPr="00E67FDA" w:rsidRDefault="00A01550" w:rsidP="00A01550">
            <w:pPr>
              <w:rPr>
                <w:rFonts w:ascii="Arial" w:hAnsi="Arial" w:cs="Arial"/>
                <w:color w:val="000361"/>
                <w:sz w:val="20"/>
                <w:szCs w:val="20"/>
              </w:rPr>
            </w:pPr>
            <w:r w:rsidRPr="00E67FDA">
              <w:rPr>
                <w:rFonts w:ascii="Arial" w:hAnsi="Arial" w:cs="Arial"/>
                <w:color w:val="000361"/>
                <w:sz w:val="20"/>
                <w:szCs w:val="20"/>
              </w:rPr>
              <w:t>3.</w:t>
            </w:r>
            <w:r w:rsidR="009276A2">
              <w:rPr>
                <w:rFonts w:ascii="Arial" w:hAnsi="Arial" w:cs="Arial"/>
                <w:color w:val="000361"/>
                <w:sz w:val="20"/>
                <w:szCs w:val="20"/>
              </w:rPr>
              <w:t>5</w:t>
            </w:r>
            <w:r w:rsidRPr="00E67FDA">
              <w:rPr>
                <w:rFonts w:ascii="Arial" w:hAnsi="Arial" w:cs="Arial"/>
                <w:color w:val="000361"/>
                <w:sz w:val="20"/>
                <w:szCs w:val="20"/>
              </w:rPr>
              <w:t>.</w:t>
            </w:r>
          </w:p>
        </w:tc>
        <w:tc>
          <w:tcPr>
            <w:tcW w:w="7658" w:type="dxa"/>
            <w:noWrap/>
          </w:tcPr>
          <w:p w:rsidR="00A01550" w:rsidRPr="00E67FDA" w:rsidRDefault="00A01550" w:rsidP="00A01550">
            <w:pPr>
              <w:tabs>
                <w:tab w:val="right" w:leader="dot" w:pos="8142"/>
              </w:tabs>
              <w:rPr>
                <w:rFonts w:ascii="Arial" w:hAnsi="Arial" w:cs="Arial"/>
                <w:color w:val="000361"/>
                <w:sz w:val="20"/>
                <w:szCs w:val="20"/>
              </w:rPr>
            </w:pPr>
            <w:r w:rsidRPr="00E67FDA">
              <w:rPr>
                <w:rFonts w:ascii="Arial" w:hAnsi="Arial" w:cs="Arial"/>
                <w:color w:val="000361"/>
                <w:sz w:val="20"/>
                <w:szCs w:val="20"/>
              </w:rPr>
              <w:t>Matriu DAFO  ...........................................................................................</w:t>
            </w:r>
            <w:r w:rsidR="008E6902" w:rsidRPr="00E67FDA">
              <w:rPr>
                <w:rFonts w:ascii="Arial" w:hAnsi="Arial" w:cs="Arial"/>
                <w:color w:val="000361"/>
                <w:sz w:val="20"/>
                <w:szCs w:val="20"/>
              </w:rPr>
              <w:t>................</w:t>
            </w:r>
            <w:r w:rsidRPr="00E67FDA">
              <w:rPr>
                <w:rFonts w:ascii="Arial" w:hAnsi="Arial" w:cs="Arial"/>
                <w:color w:val="000361"/>
                <w:sz w:val="20"/>
                <w:szCs w:val="20"/>
              </w:rPr>
              <w:t>..</w:t>
            </w:r>
          </w:p>
        </w:tc>
        <w:tc>
          <w:tcPr>
            <w:tcW w:w="469" w:type="dxa"/>
            <w:noWrap/>
          </w:tcPr>
          <w:p w:rsidR="00A01550" w:rsidRPr="00E67FDA" w:rsidRDefault="000E56E6" w:rsidP="00A01550">
            <w:pPr>
              <w:jc w:val="right"/>
              <w:rPr>
                <w:rFonts w:ascii="Arial" w:hAnsi="Arial" w:cs="Arial"/>
                <w:color w:val="000361"/>
                <w:sz w:val="20"/>
                <w:szCs w:val="20"/>
              </w:rPr>
            </w:pPr>
            <w:r>
              <w:rPr>
                <w:rFonts w:ascii="Arial" w:hAnsi="Arial" w:cs="Arial"/>
                <w:color w:val="000361"/>
                <w:sz w:val="20"/>
                <w:szCs w:val="20"/>
              </w:rPr>
              <w:t>4</w:t>
            </w:r>
            <w:r w:rsidR="00A26DD0">
              <w:rPr>
                <w:rFonts w:ascii="Arial" w:hAnsi="Arial" w:cs="Arial"/>
                <w:color w:val="000361"/>
                <w:sz w:val="20"/>
                <w:szCs w:val="20"/>
              </w:rPr>
              <w:t>2</w:t>
            </w:r>
          </w:p>
        </w:tc>
      </w:tr>
      <w:tr w:rsidR="00A01550" w:rsidRPr="004E038A" w:rsidTr="00B2588E">
        <w:trPr>
          <w:trHeight w:val="567"/>
        </w:trPr>
        <w:tc>
          <w:tcPr>
            <w:tcW w:w="8500" w:type="dxa"/>
            <w:gridSpan w:val="2"/>
            <w:noWrap/>
          </w:tcPr>
          <w:p w:rsidR="00A01550" w:rsidRPr="004E038A" w:rsidRDefault="00B80FAD" w:rsidP="00A01550">
            <w:pPr>
              <w:pStyle w:val="Prrafodelista"/>
              <w:numPr>
                <w:ilvl w:val="0"/>
                <w:numId w:val="1"/>
              </w:numPr>
              <w:tabs>
                <w:tab w:val="right" w:leader="dot" w:pos="8142"/>
              </w:tabs>
              <w:ind w:left="308" w:hanging="308"/>
              <w:rPr>
                <w:rFonts w:ascii="Arial" w:hAnsi="Arial" w:cs="Arial"/>
                <w:b/>
                <w:color w:val="000361"/>
                <w:sz w:val="20"/>
                <w:szCs w:val="20"/>
              </w:rPr>
            </w:pPr>
            <w:r w:rsidRPr="004E038A">
              <w:rPr>
                <w:rFonts w:ascii="Arial" w:hAnsi="Arial" w:cs="Arial"/>
                <w:b/>
                <w:color w:val="000361"/>
                <w:sz w:val="20"/>
                <w:szCs w:val="20"/>
              </w:rPr>
              <w:t>Implicacions ètiques i socials de Laboratoris</w:t>
            </w:r>
            <w:r w:rsidR="00D51D8D">
              <w:rPr>
                <w:rFonts w:ascii="Arial" w:hAnsi="Arial" w:cs="Arial"/>
                <w:b/>
                <w:color w:val="000361"/>
                <w:sz w:val="20"/>
                <w:szCs w:val="20"/>
              </w:rPr>
              <w:t xml:space="preserve"> Hipra ............</w:t>
            </w:r>
            <w:r w:rsidR="00A01550" w:rsidRPr="004E038A">
              <w:rPr>
                <w:rFonts w:ascii="Arial" w:hAnsi="Arial" w:cs="Arial"/>
                <w:b/>
                <w:color w:val="000361"/>
                <w:sz w:val="20"/>
                <w:szCs w:val="20"/>
              </w:rPr>
              <w:t>............................</w:t>
            </w:r>
            <w:r w:rsidR="008E6902" w:rsidRPr="004E038A">
              <w:rPr>
                <w:rFonts w:ascii="Arial" w:hAnsi="Arial" w:cs="Arial"/>
                <w:b/>
                <w:color w:val="000361"/>
                <w:sz w:val="20"/>
                <w:szCs w:val="20"/>
              </w:rPr>
              <w:t>.............</w:t>
            </w:r>
            <w:r w:rsidR="00A01550" w:rsidRPr="004E038A">
              <w:rPr>
                <w:rFonts w:ascii="Arial" w:hAnsi="Arial" w:cs="Arial"/>
                <w:b/>
                <w:color w:val="000361"/>
                <w:sz w:val="20"/>
                <w:szCs w:val="20"/>
              </w:rPr>
              <w:t>..</w:t>
            </w:r>
          </w:p>
        </w:tc>
        <w:tc>
          <w:tcPr>
            <w:tcW w:w="469" w:type="dxa"/>
            <w:noWrap/>
          </w:tcPr>
          <w:p w:rsidR="00A01550" w:rsidRPr="004E038A" w:rsidRDefault="00A01550" w:rsidP="00A01550">
            <w:pPr>
              <w:jc w:val="right"/>
              <w:rPr>
                <w:rFonts w:ascii="Arial" w:hAnsi="Arial" w:cs="Arial"/>
                <w:b/>
                <w:color w:val="000361"/>
                <w:sz w:val="20"/>
                <w:szCs w:val="20"/>
              </w:rPr>
            </w:pPr>
            <w:r w:rsidRPr="004E038A">
              <w:rPr>
                <w:rFonts w:ascii="Arial" w:hAnsi="Arial" w:cs="Arial"/>
                <w:b/>
                <w:color w:val="000361"/>
                <w:sz w:val="20"/>
                <w:szCs w:val="20"/>
              </w:rPr>
              <w:t>4</w:t>
            </w:r>
            <w:r w:rsidR="00A26DD0">
              <w:rPr>
                <w:rFonts w:ascii="Arial" w:hAnsi="Arial" w:cs="Arial"/>
                <w:b/>
                <w:color w:val="000361"/>
                <w:sz w:val="20"/>
                <w:szCs w:val="20"/>
              </w:rPr>
              <w:t>3</w:t>
            </w:r>
          </w:p>
        </w:tc>
      </w:tr>
      <w:tr w:rsidR="00A01550" w:rsidRPr="004E038A" w:rsidTr="00B2588E">
        <w:trPr>
          <w:trHeight w:val="567"/>
        </w:trPr>
        <w:tc>
          <w:tcPr>
            <w:tcW w:w="8500" w:type="dxa"/>
            <w:gridSpan w:val="2"/>
            <w:noWrap/>
          </w:tcPr>
          <w:p w:rsidR="00A01550" w:rsidRPr="00B80FAD" w:rsidRDefault="00795D83" w:rsidP="00795D83">
            <w:pPr>
              <w:tabs>
                <w:tab w:val="right" w:leader="dot" w:pos="8142"/>
              </w:tabs>
              <w:rPr>
                <w:rFonts w:ascii="Arial" w:hAnsi="Arial" w:cs="Arial"/>
                <w:b/>
                <w:color w:val="000361"/>
                <w:sz w:val="20"/>
                <w:szCs w:val="20"/>
              </w:rPr>
            </w:pPr>
            <w:r>
              <w:rPr>
                <w:rFonts w:ascii="Arial" w:hAnsi="Arial" w:cs="Arial"/>
                <w:b/>
                <w:color w:val="000361"/>
                <w:sz w:val="20"/>
                <w:szCs w:val="20"/>
              </w:rPr>
              <w:t xml:space="preserve">5.   </w:t>
            </w:r>
            <w:r w:rsidR="00B80FAD">
              <w:rPr>
                <w:rFonts w:ascii="Arial" w:hAnsi="Arial" w:cs="Arial"/>
                <w:b/>
                <w:color w:val="000361"/>
                <w:sz w:val="20"/>
                <w:szCs w:val="20"/>
              </w:rPr>
              <w:t xml:space="preserve">Conclusions i futures recomanacions </w:t>
            </w:r>
            <w:r>
              <w:rPr>
                <w:rFonts w:ascii="Arial" w:hAnsi="Arial" w:cs="Arial"/>
                <w:b/>
                <w:color w:val="000361"/>
                <w:sz w:val="20"/>
                <w:szCs w:val="20"/>
              </w:rPr>
              <w:t>......</w:t>
            </w:r>
            <w:r w:rsidR="00B80FAD">
              <w:rPr>
                <w:rFonts w:ascii="Arial" w:hAnsi="Arial" w:cs="Arial"/>
                <w:b/>
                <w:color w:val="000361"/>
                <w:sz w:val="20"/>
                <w:szCs w:val="20"/>
              </w:rPr>
              <w:t>……………………</w:t>
            </w:r>
            <w:r w:rsidR="00BA67AD" w:rsidRPr="00B80FAD">
              <w:rPr>
                <w:rFonts w:ascii="Arial" w:hAnsi="Arial" w:cs="Arial"/>
                <w:b/>
                <w:color w:val="000361"/>
                <w:sz w:val="20"/>
                <w:szCs w:val="20"/>
              </w:rPr>
              <w:t>.</w:t>
            </w:r>
            <w:r w:rsidR="00A01550" w:rsidRPr="00B80FAD">
              <w:rPr>
                <w:rFonts w:ascii="Arial" w:hAnsi="Arial" w:cs="Arial"/>
                <w:b/>
                <w:color w:val="000361"/>
                <w:sz w:val="20"/>
                <w:szCs w:val="20"/>
              </w:rPr>
              <w:t>..........................</w:t>
            </w:r>
            <w:r w:rsidR="008E6902" w:rsidRPr="00B80FAD">
              <w:rPr>
                <w:rFonts w:ascii="Arial" w:hAnsi="Arial" w:cs="Arial"/>
                <w:b/>
                <w:color w:val="000361"/>
                <w:sz w:val="20"/>
                <w:szCs w:val="20"/>
              </w:rPr>
              <w:t>.............</w:t>
            </w:r>
            <w:r w:rsidR="00A01550" w:rsidRPr="00B80FAD">
              <w:rPr>
                <w:rFonts w:ascii="Arial" w:hAnsi="Arial" w:cs="Arial"/>
                <w:b/>
                <w:color w:val="000361"/>
                <w:sz w:val="20"/>
                <w:szCs w:val="20"/>
              </w:rPr>
              <w:t>...</w:t>
            </w:r>
          </w:p>
        </w:tc>
        <w:tc>
          <w:tcPr>
            <w:tcW w:w="469" w:type="dxa"/>
            <w:noWrap/>
          </w:tcPr>
          <w:p w:rsidR="00A01550" w:rsidRPr="004E038A" w:rsidRDefault="00A01550" w:rsidP="00A01550">
            <w:pPr>
              <w:jc w:val="right"/>
              <w:rPr>
                <w:rFonts w:ascii="Arial" w:hAnsi="Arial" w:cs="Arial"/>
                <w:b/>
                <w:color w:val="000361"/>
                <w:sz w:val="20"/>
                <w:szCs w:val="20"/>
              </w:rPr>
            </w:pPr>
            <w:r w:rsidRPr="004E038A">
              <w:rPr>
                <w:rFonts w:ascii="Arial" w:hAnsi="Arial" w:cs="Arial"/>
                <w:b/>
                <w:color w:val="000361"/>
                <w:sz w:val="20"/>
                <w:szCs w:val="20"/>
              </w:rPr>
              <w:t>4</w:t>
            </w:r>
            <w:r w:rsidR="00A26DD0">
              <w:rPr>
                <w:rFonts w:ascii="Arial" w:hAnsi="Arial" w:cs="Arial"/>
                <w:b/>
                <w:color w:val="000361"/>
                <w:sz w:val="20"/>
                <w:szCs w:val="20"/>
              </w:rPr>
              <w:t>4</w:t>
            </w:r>
          </w:p>
        </w:tc>
      </w:tr>
      <w:tr w:rsidR="00A01550" w:rsidRPr="004E038A" w:rsidTr="00B2588E">
        <w:trPr>
          <w:trHeight w:val="567"/>
        </w:trPr>
        <w:tc>
          <w:tcPr>
            <w:tcW w:w="8500" w:type="dxa"/>
            <w:gridSpan w:val="2"/>
            <w:noWrap/>
          </w:tcPr>
          <w:p w:rsidR="00A01550" w:rsidRPr="00795D83" w:rsidRDefault="00795D83" w:rsidP="00795D83">
            <w:pPr>
              <w:tabs>
                <w:tab w:val="right" w:leader="dot" w:pos="8142"/>
              </w:tabs>
              <w:rPr>
                <w:rFonts w:ascii="Arial" w:hAnsi="Arial" w:cs="Arial"/>
                <w:b/>
                <w:color w:val="000361"/>
                <w:sz w:val="20"/>
                <w:szCs w:val="20"/>
              </w:rPr>
            </w:pPr>
            <w:r w:rsidRPr="00795D83">
              <w:rPr>
                <w:rFonts w:ascii="Arial" w:hAnsi="Arial" w:cs="Arial"/>
                <w:b/>
                <w:color w:val="000361"/>
                <w:sz w:val="20"/>
                <w:szCs w:val="20"/>
              </w:rPr>
              <w:t>6.</w:t>
            </w:r>
            <w:r>
              <w:rPr>
                <w:rFonts w:ascii="Arial" w:hAnsi="Arial" w:cs="Arial"/>
                <w:b/>
                <w:color w:val="000361"/>
                <w:sz w:val="20"/>
                <w:szCs w:val="20"/>
              </w:rPr>
              <w:t xml:space="preserve">   </w:t>
            </w:r>
            <w:r w:rsidR="00A01550" w:rsidRPr="00795D83">
              <w:rPr>
                <w:rFonts w:ascii="Arial" w:hAnsi="Arial" w:cs="Arial"/>
                <w:b/>
                <w:color w:val="000361"/>
                <w:sz w:val="20"/>
                <w:szCs w:val="20"/>
              </w:rPr>
              <w:t>Valoracions i agraïments</w:t>
            </w:r>
            <w:r>
              <w:rPr>
                <w:rFonts w:ascii="Arial" w:hAnsi="Arial" w:cs="Arial"/>
                <w:b/>
                <w:color w:val="000361"/>
                <w:sz w:val="20"/>
                <w:szCs w:val="20"/>
              </w:rPr>
              <w:t xml:space="preserve"> </w:t>
            </w:r>
            <w:r w:rsidR="00A01550" w:rsidRPr="00795D83">
              <w:rPr>
                <w:rFonts w:ascii="Arial" w:hAnsi="Arial" w:cs="Arial"/>
                <w:b/>
                <w:color w:val="000361"/>
                <w:sz w:val="20"/>
                <w:szCs w:val="20"/>
              </w:rPr>
              <w:t>...............................................................................</w:t>
            </w:r>
            <w:r w:rsidR="008E6902" w:rsidRPr="00795D83">
              <w:rPr>
                <w:rFonts w:ascii="Arial" w:hAnsi="Arial" w:cs="Arial"/>
                <w:b/>
                <w:color w:val="000361"/>
                <w:sz w:val="20"/>
                <w:szCs w:val="20"/>
              </w:rPr>
              <w:t>................</w:t>
            </w:r>
            <w:r w:rsidR="00A01550" w:rsidRPr="00795D83">
              <w:rPr>
                <w:rFonts w:ascii="Arial" w:hAnsi="Arial" w:cs="Arial"/>
                <w:b/>
                <w:color w:val="000361"/>
                <w:sz w:val="20"/>
                <w:szCs w:val="20"/>
              </w:rPr>
              <w:t>....</w:t>
            </w:r>
          </w:p>
        </w:tc>
        <w:tc>
          <w:tcPr>
            <w:tcW w:w="469" w:type="dxa"/>
            <w:noWrap/>
          </w:tcPr>
          <w:p w:rsidR="00A01550" w:rsidRPr="004E038A" w:rsidRDefault="00A01550" w:rsidP="00A01550">
            <w:pPr>
              <w:jc w:val="right"/>
              <w:rPr>
                <w:rFonts w:ascii="Arial" w:hAnsi="Arial" w:cs="Arial"/>
                <w:b/>
                <w:color w:val="000361"/>
                <w:sz w:val="20"/>
                <w:szCs w:val="20"/>
              </w:rPr>
            </w:pPr>
            <w:r w:rsidRPr="004E038A">
              <w:rPr>
                <w:rFonts w:ascii="Arial" w:hAnsi="Arial" w:cs="Arial"/>
                <w:b/>
                <w:color w:val="000361"/>
                <w:sz w:val="20"/>
                <w:szCs w:val="20"/>
              </w:rPr>
              <w:t>4</w:t>
            </w:r>
            <w:r w:rsidR="00A26DD0">
              <w:rPr>
                <w:rFonts w:ascii="Arial" w:hAnsi="Arial" w:cs="Arial"/>
                <w:b/>
                <w:color w:val="000361"/>
                <w:sz w:val="20"/>
                <w:szCs w:val="20"/>
              </w:rPr>
              <w:t>7</w:t>
            </w:r>
          </w:p>
        </w:tc>
      </w:tr>
      <w:tr w:rsidR="00795D83" w:rsidRPr="004E038A" w:rsidTr="00B2588E">
        <w:trPr>
          <w:trHeight w:val="567"/>
        </w:trPr>
        <w:tc>
          <w:tcPr>
            <w:tcW w:w="8500" w:type="dxa"/>
            <w:gridSpan w:val="2"/>
            <w:noWrap/>
          </w:tcPr>
          <w:p w:rsidR="00795D83" w:rsidRPr="00795D83" w:rsidRDefault="00795D83" w:rsidP="00795D83">
            <w:pPr>
              <w:tabs>
                <w:tab w:val="right" w:leader="dot" w:pos="8142"/>
              </w:tabs>
              <w:rPr>
                <w:rFonts w:ascii="Arial" w:hAnsi="Arial" w:cs="Arial"/>
                <w:b/>
                <w:color w:val="000361"/>
                <w:sz w:val="20"/>
                <w:szCs w:val="20"/>
              </w:rPr>
            </w:pPr>
            <w:r>
              <w:rPr>
                <w:rFonts w:ascii="Arial" w:hAnsi="Arial" w:cs="Arial"/>
                <w:b/>
                <w:color w:val="000361"/>
                <w:sz w:val="20"/>
                <w:szCs w:val="20"/>
              </w:rPr>
              <w:t>7.   Autoavaluació .....................................................................................................................</w:t>
            </w:r>
          </w:p>
        </w:tc>
        <w:tc>
          <w:tcPr>
            <w:tcW w:w="469" w:type="dxa"/>
            <w:noWrap/>
          </w:tcPr>
          <w:p w:rsidR="00795D83" w:rsidRPr="004E038A" w:rsidRDefault="00A26DD0" w:rsidP="00A01550">
            <w:pPr>
              <w:jc w:val="right"/>
              <w:rPr>
                <w:rFonts w:ascii="Arial" w:hAnsi="Arial" w:cs="Arial"/>
                <w:b/>
                <w:color w:val="000361"/>
                <w:sz w:val="20"/>
                <w:szCs w:val="20"/>
              </w:rPr>
            </w:pPr>
            <w:r>
              <w:rPr>
                <w:rFonts w:ascii="Arial" w:hAnsi="Arial" w:cs="Arial"/>
                <w:b/>
                <w:color w:val="000361"/>
                <w:sz w:val="20"/>
                <w:szCs w:val="20"/>
              </w:rPr>
              <w:t>48</w:t>
            </w:r>
          </w:p>
        </w:tc>
      </w:tr>
      <w:tr w:rsidR="00A01550" w:rsidRPr="004E038A" w:rsidTr="00B2588E">
        <w:trPr>
          <w:trHeight w:val="567"/>
        </w:trPr>
        <w:tc>
          <w:tcPr>
            <w:tcW w:w="8500" w:type="dxa"/>
            <w:gridSpan w:val="2"/>
            <w:noWrap/>
          </w:tcPr>
          <w:p w:rsidR="00A01550" w:rsidRPr="004E038A" w:rsidRDefault="00795D83" w:rsidP="00A01550">
            <w:pPr>
              <w:tabs>
                <w:tab w:val="right" w:leader="dot" w:pos="8142"/>
              </w:tabs>
              <w:rPr>
                <w:rFonts w:ascii="Arial" w:hAnsi="Arial" w:cs="Arial"/>
                <w:b/>
                <w:color w:val="000361"/>
                <w:sz w:val="20"/>
                <w:szCs w:val="20"/>
              </w:rPr>
            </w:pPr>
            <w:r>
              <w:rPr>
                <w:rFonts w:ascii="Arial" w:hAnsi="Arial" w:cs="Arial"/>
                <w:b/>
                <w:color w:val="000361"/>
                <w:sz w:val="20"/>
                <w:szCs w:val="20"/>
              </w:rPr>
              <w:t xml:space="preserve">8.   </w:t>
            </w:r>
            <w:r w:rsidR="00A01550" w:rsidRPr="004E038A">
              <w:rPr>
                <w:rFonts w:ascii="Arial" w:hAnsi="Arial" w:cs="Arial"/>
                <w:b/>
                <w:color w:val="000361"/>
                <w:sz w:val="20"/>
                <w:szCs w:val="20"/>
              </w:rPr>
              <w:t xml:space="preserve">Referències bibliogràfiques </w:t>
            </w:r>
            <w:r>
              <w:rPr>
                <w:rFonts w:ascii="Arial" w:hAnsi="Arial" w:cs="Arial"/>
                <w:b/>
                <w:color w:val="000361"/>
                <w:sz w:val="20"/>
                <w:szCs w:val="20"/>
              </w:rPr>
              <w:t>.</w:t>
            </w:r>
            <w:r w:rsidR="00A01550" w:rsidRPr="004E038A">
              <w:rPr>
                <w:rFonts w:ascii="Arial" w:hAnsi="Arial" w:cs="Arial"/>
                <w:b/>
                <w:color w:val="000361"/>
                <w:sz w:val="20"/>
                <w:szCs w:val="20"/>
              </w:rPr>
              <w:t>............................................................................</w:t>
            </w:r>
            <w:r w:rsidR="008E6902" w:rsidRPr="004E038A">
              <w:rPr>
                <w:rFonts w:ascii="Arial" w:hAnsi="Arial" w:cs="Arial"/>
                <w:b/>
                <w:color w:val="000361"/>
                <w:sz w:val="20"/>
                <w:szCs w:val="20"/>
              </w:rPr>
              <w:t>...............</w:t>
            </w:r>
            <w:r w:rsidR="00A01550" w:rsidRPr="004E038A">
              <w:rPr>
                <w:rFonts w:ascii="Arial" w:hAnsi="Arial" w:cs="Arial"/>
                <w:b/>
                <w:color w:val="000361"/>
                <w:sz w:val="20"/>
                <w:szCs w:val="20"/>
              </w:rPr>
              <w:t>..</w:t>
            </w:r>
          </w:p>
        </w:tc>
        <w:tc>
          <w:tcPr>
            <w:tcW w:w="469" w:type="dxa"/>
            <w:noWrap/>
          </w:tcPr>
          <w:p w:rsidR="00A01550" w:rsidRPr="004E038A" w:rsidRDefault="00A01550" w:rsidP="00A01550">
            <w:pPr>
              <w:jc w:val="right"/>
              <w:rPr>
                <w:rFonts w:ascii="Arial" w:hAnsi="Arial" w:cs="Arial"/>
                <w:b/>
                <w:color w:val="000361"/>
                <w:sz w:val="20"/>
                <w:szCs w:val="20"/>
              </w:rPr>
            </w:pPr>
            <w:r w:rsidRPr="004E038A">
              <w:rPr>
                <w:rFonts w:ascii="Arial" w:hAnsi="Arial" w:cs="Arial"/>
                <w:b/>
                <w:color w:val="000361"/>
                <w:sz w:val="20"/>
                <w:szCs w:val="20"/>
              </w:rPr>
              <w:t>4</w:t>
            </w:r>
            <w:r w:rsidR="00D53E9E">
              <w:rPr>
                <w:rFonts w:ascii="Arial" w:hAnsi="Arial" w:cs="Arial"/>
                <w:b/>
                <w:color w:val="000361"/>
                <w:sz w:val="20"/>
                <w:szCs w:val="20"/>
              </w:rPr>
              <w:t>9</w:t>
            </w:r>
          </w:p>
        </w:tc>
      </w:tr>
      <w:tr w:rsidR="00795D83" w:rsidRPr="004E038A" w:rsidTr="00B2588E">
        <w:trPr>
          <w:trHeight w:val="567"/>
        </w:trPr>
        <w:tc>
          <w:tcPr>
            <w:tcW w:w="8500" w:type="dxa"/>
            <w:gridSpan w:val="2"/>
            <w:noWrap/>
          </w:tcPr>
          <w:p w:rsidR="00795D83" w:rsidRDefault="00795D83" w:rsidP="00A01550">
            <w:pPr>
              <w:tabs>
                <w:tab w:val="right" w:leader="dot" w:pos="8142"/>
              </w:tabs>
              <w:rPr>
                <w:rFonts w:ascii="Arial" w:hAnsi="Arial" w:cs="Arial"/>
                <w:b/>
                <w:color w:val="000361"/>
                <w:sz w:val="20"/>
                <w:szCs w:val="20"/>
              </w:rPr>
            </w:pPr>
            <w:r>
              <w:rPr>
                <w:rFonts w:ascii="Arial" w:hAnsi="Arial" w:cs="Arial"/>
                <w:b/>
                <w:color w:val="000361"/>
                <w:sz w:val="20"/>
                <w:szCs w:val="20"/>
              </w:rPr>
              <w:t>9.   Abreviatures i acrònims .....................................................................................................</w:t>
            </w:r>
          </w:p>
        </w:tc>
        <w:tc>
          <w:tcPr>
            <w:tcW w:w="469" w:type="dxa"/>
            <w:noWrap/>
          </w:tcPr>
          <w:p w:rsidR="00795D83" w:rsidRPr="004E038A" w:rsidRDefault="00A26DD0" w:rsidP="00A01550">
            <w:pPr>
              <w:jc w:val="right"/>
              <w:rPr>
                <w:rFonts w:ascii="Arial" w:hAnsi="Arial" w:cs="Arial"/>
                <w:b/>
                <w:color w:val="000361"/>
                <w:sz w:val="20"/>
                <w:szCs w:val="20"/>
              </w:rPr>
            </w:pPr>
            <w:r>
              <w:rPr>
                <w:rFonts w:ascii="Arial" w:hAnsi="Arial" w:cs="Arial"/>
                <w:b/>
                <w:color w:val="000361"/>
                <w:sz w:val="20"/>
                <w:szCs w:val="20"/>
              </w:rPr>
              <w:t>51</w:t>
            </w:r>
          </w:p>
        </w:tc>
      </w:tr>
      <w:tr w:rsidR="00795D83" w:rsidRPr="004E038A" w:rsidTr="00B2588E">
        <w:trPr>
          <w:trHeight w:val="567"/>
        </w:trPr>
        <w:tc>
          <w:tcPr>
            <w:tcW w:w="8500" w:type="dxa"/>
            <w:gridSpan w:val="2"/>
            <w:noWrap/>
          </w:tcPr>
          <w:p w:rsidR="00795D83" w:rsidRDefault="00795D83" w:rsidP="00A01550">
            <w:pPr>
              <w:tabs>
                <w:tab w:val="right" w:leader="dot" w:pos="8142"/>
              </w:tabs>
              <w:rPr>
                <w:rFonts w:ascii="Arial" w:hAnsi="Arial" w:cs="Arial"/>
                <w:b/>
                <w:color w:val="000361"/>
                <w:sz w:val="20"/>
                <w:szCs w:val="20"/>
              </w:rPr>
            </w:pPr>
            <w:r>
              <w:rPr>
                <w:rFonts w:ascii="Arial" w:hAnsi="Arial" w:cs="Arial"/>
                <w:b/>
                <w:color w:val="000361"/>
                <w:sz w:val="20"/>
                <w:szCs w:val="20"/>
              </w:rPr>
              <w:t xml:space="preserve">10. </w:t>
            </w:r>
            <w:r w:rsidR="00A26DD0">
              <w:rPr>
                <w:rFonts w:ascii="Arial" w:hAnsi="Arial" w:cs="Arial"/>
                <w:b/>
                <w:color w:val="000361"/>
                <w:sz w:val="20"/>
                <w:szCs w:val="20"/>
              </w:rPr>
              <w:t>Índex de taules incorporades a la memòria .....................................................................</w:t>
            </w:r>
          </w:p>
        </w:tc>
        <w:tc>
          <w:tcPr>
            <w:tcW w:w="469" w:type="dxa"/>
            <w:noWrap/>
          </w:tcPr>
          <w:p w:rsidR="00795D83" w:rsidRPr="004E038A" w:rsidRDefault="00A26DD0" w:rsidP="00A01550">
            <w:pPr>
              <w:jc w:val="right"/>
              <w:rPr>
                <w:rFonts w:ascii="Arial" w:hAnsi="Arial" w:cs="Arial"/>
                <w:b/>
                <w:color w:val="000361"/>
                <w:sz w:val="20"/>
                <w:szCs w:val="20"/>
              </w:rPr>
            </w:pPr>
            <w:r>
              <w:rPr>
                <w:rFonts w:ascii="Arial" w:hAnsi="Arial" w:cs="Arial"/>
                <w:b/>
                <w:color w:val="000361"/>
                <w:sz w:val="20"/>
                <w:szCs w:val="20"/>
              </w:rPr>
              <w:t>51</w:t>
            </w:r>
          </w:p>
        </w:tc>
      </w:tr>
      <w:tr w:rsidR="00A26DD0" w:rsidRPr="004E038A" w:rsidTr="00B2588E">
        <w:trPr>
          <w:trHeight w:val="567"/>
        </w:trPr>
        <w:tc>
          <w:tcPr>
            <w:tcW w:w="8500" w:type="dxa"/>
            <w:gridSpan w:val="2"/>
            <w:noWrap/>
          </w:tcPr>
          <w:p w:rsidR="00A26DD0" w:rsidRDefault="00A26DD0" w:rsidP="00A01550">
            <w:pPr>
              <w:tabs>
                <w:tab w:val="right" w:leader="dot" w:pos="8142"/>
              </w:tabs>
              <w:rPr>
                <w:rFonts w:ascii="Arial" w:hAnsi="Arial" w:cs="Arial"/>
                <w:b/>
                <w:color w:val="000361"/>
                <w:sz w:val="20"/>
                <w:szCs w:val="20"/>
              </w:rPr>
            </w:pPr>
            <w:r>
              <w:rPr>
                <w:rFonts w:ascii="Arial" w:hAnsi="Arial" w:cs="Arial"/>
                <w:b/>
                <w:color w:val="000361"/>
                <w:sz w:val="20"/>
                <w:szCs w:val="20"/>
              </w:rPr>
              <w:t>11. Índex de gràfics incorporats a la memòria ......................................................................</w:t>
            </w:r>
          </w:p>
        </w:tc>
        <w:tc>
          <w:tcPr>
            <w:tcW w:w="469" w:type="dxa"/>
            <w:noWrap/>
          </w:tcPr>
          <w:p w:rsidR="00A26DD0" w:rsidRPr="004E038A" w:rsidRDefault="00A26DD0" w:rsidP="00A01550">
            <w:pPr>
              <w:jc w:val="right"/>
              <w:rPr>
                <w:rFonts w:ascii="Arial" w:hAnsi="Arial" w:cs="Arial"/>
                <w:b/>
                <w:color w:val="000361"/>
                <w:sz w:val="20"/>
                <w:szCs w:val="20"/>
              </w:rPr>
            </w:pPr>
            <w:r>
              <w:rPr>
                <w:rFonts w:ascii="Arial" w:hAnsi="Arial" w:cs="Arial"/>
                <w:b/>
                <w:color w:val="000361"/>
                <w:sz w:val="20"/>
                <w:szCs w:val="20"/>
              </w:rPr>
              <w:t>52</w:t>
            </w:r>
          </w:p>
        </w:tc>
      </w:tr>
      <w:tr w:rsidR="00A01550" w:rsidRPr="004E038A" w:rsidTr="00B2588E">
        <w:trPr>
          <w:trHeight w:val="567"/>
        </w:trPr>
        <w:tc>
          <w:tcPr>
            <w:tcW w:w="8500" w:type="dxa"/>
            <w:gridSpan w:val="2"/>
            <w:noWrap/>
          </w:tcPr>
          <w:p w:rsidR="00A01550" w:rsidRPr="004E038A" w:rsidRDefault="00A01550" w:rsidP="00A01550">
            <w:pPr>
              <w:tabs>
                <w:tab w:val="right" w:leader="dot" w:pos="8142"/>
              </w:tabs>
              <w:rPr>
                <w:rFonts w:ascii="Arial" w:hAnsi="Arial" w:cs="Arial"/>
                <w:b/>
                <w:color w:val="000361"/>
                <w:sz w:val="20"/>
                <w:szCs w:val="20"/>
              </w:rPr>
            </w:pPr>
          </w:p>
        </w:tc>
        <w:tc>
          <w:tcPr>
            <w:tcW w:w="469" w:type="dxa"/>
            <w:noWrap/>
          </w:tcPr>
          <w:p w:rsidR="00A01550" w:rsidRPr="004E038A" w:rsidRDefault="00A01550" w:rsidP="00A01550">
            <w:pPr>
              <w:jc w:val="right"/>
              <w:rPr>
                <w:rFonts w:ascii="Arial" w:hAnsi="Arial" w:cs="Arial"/>
                <w:b/>
                <w:color w:val="000361"/>
                <w:sz w:val="20"/>
                <w:szCs w:val="20"/>
              </w:rPr>
            </w:pPr>
          </w:p>
        </w:tc>
      </w:tr>
    </w:tbl>
    <w:p w:rsidR="00E10060" w:rsidRPr="004E038A" w:rsidRDefault="00E10060" w:rsidP="003E6705">
      <w:pPr>
        <w:jc w:val="both"/>
        <w:rPr>
          <w:rFonts w:ascii="Arial" w:hAnsi="Arial" w:cs="Arial"/>
          <w:color w:val="000361"/>
          <w:sz w:val="20"/>
          <w:szCs w:val="20"/>
        </w:rPr>
      </w:pPr>
      <w:r w:rsidRPr="004E038A">
        <w:rPr>
          <w:rFonts w:ascii="Arial" w:hAnsi="Arial" w:cs="Arial"/>
          <w:color w:val="000361"/>
          <w:sz w:val="20"/>
          <w:szCs w:val="20"/>
        </w:rPr>
        <w:br w:type="page"/>
      </w:r>
    </w:p>
    <w:p w:rsidR="00B556AB" w:rsidRDefault="00833537" w:rsidP="003E6705">
      <w:pPr>
        <w:jc w:val="both"/>
        <w:rPr>
          <w:rFonts w:ascii="Arial" w:hAnsi="Arial" w:cs="Arial"/>
          <w:b/>
          <w:color w:val="000361"/>
        </w:rPr>
      </w:pPr>
      <w:r>
        <w:rPr>
          <w:rFonts w:ascii="Arial" w:hAnsi="Arial" w:cs="Arial"/>
          <w:b/>
          <w:color w:val="000361"/>
        </w:rPr>
        <w:lastRenderedPageBreak/>
        <w:t xml:space="preserve">Quina estratègia ha seguit </w:t>
      </w:r>
      <w:r w:rsidR="00BF594B">
        <w:rPr>
          <w:rFonts w:ascii="Arial" w:hAnsi="Arial" w:cs="Arial"/>
          <w:b/>
          <w:color w:val="000361"/>
        </w:rPr>
        <w:t>H</w:t>
      </w:r>
      <w:r w:rsidR="00D51D8D">
        <w:rPr>
          <w:rFonts w:ascii="Arial" w:hAnsi="Arial" w:cs="Arial"/>
          <w:b/>
          <w:color w:val="000361"/>
        </w:rPr>
        <w:t>ipra</w:t>
      </w:r>
      <w:r w:rsidR="00BF594B">
        <w:rPr>
          <w:rFonts w:ascii="Arial" w:hAnsi="Arial" w:cs="Arial"/>
          <w:b/>
          <w:color w:val="000361"/>
        </w:rPr>
        <w:t xml:space="preserve"> per esdevenir una empresa rellevant al seu sector?</w:t>
      </w:r>
    </w:p>
    <w:p w:rsidR="00BF594B" w:rsidRPr="004E038A" w:rsidRDefault="00BF594B" w:rsidP="003E6705">
      <w:pPr>
        <w:jc w:val="both"/>
        <w:rPr>
          <w:rFonts w:ascii="Arial" w:hAnsi="Arial" w:cs="Arial"/>
          <w:b/>
          <w:color w:val="000361"/>
        </w:rPr>
      </w:pPr>
    </w:p>
    <w:p w:rsidR="003E6705" w:rsidRPr="004E038A" w:rsidRDefault="00B556AB" w:rsidP="003E6705">
      <w:pPr>
        <w:jc w:val="both"/>
        <w:rPr>
          <w:rFonts w:ascii="Arial" w:hAnsi="Arial" w:cs="Arial"/>
          <w:b/>
          <w:color w:val="000361"/>
        </w:rPr>
      </w:pPr>
      <w:r w:rsidRPr="004E038A">
        <w:rPr>
          <w:rFonts w:ascii="Arial" w:hAnsi="Arial" w:cs="Arial"/>
          <w:b/>
          <w:color w:val="000361"/>
        </w:rPr>
        <w:t>Quins són els factors determinants del seu creixement?</w:t>
      </w:r>
    </w:p>
    <w:p w:rsidR="003E6705" w:rsidRPr="004E038A" w:rsidRDefault="003E6705" w:rsidP="00240440">
      <w:pPr>
        <w:rPr>
          <w:rFonts w:ascii="Arial" w:hAnsi="Arial" w:cs="Arial"/>
          <w:color w:val="000361"/>
        </w:rPr>
      </w:pPr>
    </w:p>
    <w:p w:rsidR="003E6705" w:rsidRPr="001A1E54" w:rsidRDefault="003E6705" w:rsidP="00240440">
      <w:pPr>
        <w:rPr>
          <w:rFonts w:ascii="Arial" w:hAnsi="Arial" w:cs="Arial"/>
          <w:color w:val="000361"/>
          <w:sz w:val="20"/>
          <w:szCs w:val="20"/>
        </w:rPr>
      </w:pPr>
      <w:r w:rsidRPr="001A1E54">
        <w:rPr>
          <w:rFonts w:ascii="Arial" w:hAnsi="Arial" w:cs="Arial"/>
          <w:color w:val="000361"/>
          <w:sz w:val="20"/>
          <w:szCs w:val="20"/>
        </w:rPr>
        <w:t xml:space="preserve"> </w:t>
      </w:r>
      <w:r w:rsidRPr="001A1E54">
        <w:rPr>
          <w:rFonts w:ascii="Arial" w:hAnsi="Arial" w:cs="Arial"/>
          <w:b/>
          <w:color w:val="000361"/>
          <w:sz w:val="20"/>
          <w:szCs w:val="20"/>
        </w:rPr>
        <w:t>Jordi Costa Montagut</w:t>
      </w:r>
      <w:r w:rsidRPr="001A1E54">
        <w:rPr>
          <w:rFonts w:ascii="Arial" w:hAnsi="Arial" w:cs="Arial"/>
          <w:color w:val="000361"/>
          <w:sz w:val="20"/>
          <w:szCs w:val="20"/>
        </w:rPr>
        <w:t xml:space="preserve"> (</w:t>
      </w:r>
      <w:hyperlink r:id="rId13" w:history="1">
        <w:r w:rsidRPr="001A1E54">
          <w:rPr>
            <w:rStyle w:val="Hipervnculo"/>
            <w:rFonts w:ascii="Arial" w:hAnsi="Arial" w:cs="Arial"/>
            <w:color w:val="000361"/>
            <w:sz w:val="20"/>
            <w:szCs w:val="20"/>
          </w:rPr>
          <w:t>jcostamont@uoc.edu</w:t>
        </w:r>
      </w:hyperlink>
      <w:r w:rsidRPr="001A1E54">
        <w:rPr>
          <w:rFonts w:ascii="Arial" w:hAnsi="Arial" w:cs="Arial"/>
          <w:color w:val="000361"/>
          <w:sz w:val="20"/>
          <w:szCs w:val="20"/>
        </w:rPr>
        <w:t>)</w:t>
      </w:r>
    </w:p>
    <w:p w:rsidR="003E6705" w:rsidRPr="001A1E54" w:rsidRDefault="003E6705" w:rsidP="00240440">
      <w:pPr>
        <w:rPr>
          <w:rFonts w:ascii="Arial" w:hAnsi="Arial" w:cs="Arial"/>
          <w:color w:val="000361"/>
          <w:sz w:val="20"/>
          <w:szCs w:val="20"/>
        </w:rPr>
      </w:pPr>
    </w:p>
    <w:p w:rsidR="003E6705" w:rsidRPr="001A1E54" w:rsidRDefault="003E6705" w:rsidP="003E6705">
      <w:pPr>
        <w:jc w:val="both"/>
        <w:rPr>
          <w:rFonts w:ascii="Arial" w:hAnsi="Arial" w:cs="Arial"/>
          <w:i/>
          <w:color w:val="000361"/>
          <w:sz w:val="20"/>
          <w:szCs w:val="20"/>
        </w:rPr>
      </w:pPr>
      <w:r w:rsidRPr="001A1E54">
        <w:rPr>
          <w:rFonts w:ascii="Arial" w:hAnsi="Arial" w:cs="Arial"/>
          <w:i/>
          <w:color w:val="000361"/>
          <w:sz w:val="20"/>
          <w:szCs w:val="20"/>
        </w:rPr>
        <w:t>Treball de final de grau (Administració i direcció d’empreses a l’àmbit de la presa de decisions i anàlisi economicofinancera)</w:t>
      </w:r>
    </w:p>
    <w:p w:rsidR="00240440" w:rsidRPr="004E038A" w:rsidRDefault="00240440" w:rsidP="00240440">
      <w:pPr>
        <w:rPr>
          <w:rFonts w:ascii="Arial" w:hAnsi="Arial" w:cs="Arial"/>
          <w:color w:val="000361"/>
        </w:rPr>
      </w:pPr>
    </w:p>
    <w:p w:rsidR="00343852" w:rsidRPr="004E038A" w:rsidRDefault="00343852" w:rsidP="00240440">
      <w:pPr>
        <w:rPr>
          <w:rFonts w:ascii="Arial" w:hAnsi="Arial" w:cs="Arial"/>
          <w:color w:val="000361"/>
        </w:rPr>
      </w:pPr>
    </w:p>
    <w:p w:rsidR="003E6705" w:rsidRPr="004E038A" w:rsidRDefault="003E6705" w:rsidP="00240440">
      <w:pPr>
        <w:rPr>
          <w:rFonts w:ascii="Arial" w:hAnsi="Arial" w:cs="Arial"/>
          <w:b/>
          <w:color w:val="000361"/>
        </w:rPr>
      </w:pPr>
      <w:r w:rsidRPr="004E038A">
        <w:rPr>
          <w:rFonts w:ascii="Arial" w:hAnsi="Arial" w:cs="Arial"/>
          <w:b/>
          <w:color w:val="000361"/>
        </w:rPr>
        <w:t>Resum</w:t>
      </w:r>
    </w:p>
    <w:p w:rsidR="003E6705" w:rsidRPr="004E038A" w:rsidRDefault="003E6705" w:rsidP="00240440">
      <w:pPr>
        <w:rPr>
          <w:color w:val="000361"/>
        </w:rPr>
      </w:pPr>
    </w:p>
    <w:p w:rsidR="00BF142B" w:rsidRDefault="00BF142B" w:rsidP="005B4F30">
      <w:pPr>
        <w:jc w:val="both"/>
        <w:rPr>
          <w:rFonts w:ascii="Arial" w:hAnsi="Arial" w:cs="Arial"/>
          <w:color w:val="000361"/>
          <w:sz w:val="20"/>
          <w:szCs w:val="20"/>
        </w:rPr>
      </w:pPr>
      <w:r>
        <w:rPr>
          <w:rFonts w:ascii="Arial" w:hAnsi="Arial" w:cs="Arial"/>
          <w:color w:val="000361"/>
          <w:sz w:val="20"/>
          <w:szCs w:val="20"/>
        </w:rPr>
        <w:t>Laboratoris Hipra és una empresa familiar que ha aconseguit posicionar-se entre les 20 empreses que més facturen del món en el sector farmacèutic en prevenció de Salut Animal. Aquesta companyia és cada cop més visible als mitjans de comunicació per les inversions noves instal·lacions i també a les borses de treball on cerquen personal especialitzat que pos</w:t>
      </w:r>
      <w:r w:rsidR="001A1E54">
        <w:rPr>
          <w:rFonts w:ascii="Arial" w:hAnsi="Arial" w:cs="Arial"/>
          <w:color w:val="000361"/>
          <w:sz w:val="20"/>
          <w:szCs w:val="20"/>
        </w:rPr>
        <w:t>a</w:t>
      </w:r>
      <w:r>
        <w:rPr>
          <w:rFonts w:ascii="Arial" w:hAnsi="Arial" w:cs="Arial"/>
          <w:color w:val="000361"/>
          <w:sz w:val="20"/>
          <w:szCs w:val="20"/>
        </w:rPr>
        <w:t xml:space="preserve"> de manifest la voluntat de l’empresa de créixer i assolir objectius més ambiciosos.</w:t>
      </w:r>
    </w:p>
    <w:p w:rsidR="00BF142B" w:rsidRDefault="00BF142B" w:rsidP="005B4F30">
      <w:pPr>
        <w:jc w:val="both"/>
        <w:rPr>
          <w:color w:val="000361"/>
        </w:rPr>
      </w:pPr>
    </w:p>
    <w:p w:rsidR="00BF142B" w:rsidRDefault="00BF142B" w:rsidP="005B4F30">
      <w:pPr>
        <w:jc w:val="both"/>
        <w:rPr>
          <w:rFonts w:ascii="Arial" w:hAnsi="Arial" w:cs="Arial"/>
          <w:color w:val="000361"/>
          <w:sz w:val="20"/>
          <w:szCs w:val="20"/>
        </w:rPr>
      </w:pPr>
      <w:r>
        <w:rPr>
          <w:rFonts w:ascii="Arial" w:hAnsi="Arial" w:cs="Arial"/>
          <w:color w:val="000361"/>
          <w:sz w:val="20"/>
          <w:szCs w:val="20"/>
        </w:rPr>
        <w:t>Aquest estudi explica aquells aspectes que han sigut i continuen sent determinants en aquest procés de creixement que està experimentant Laboratoris Hipra en un sector dominat per grans empreses multinacionals.</w:t>
      </w:r>
    </w:p>
    <w:p w:rsidR="00BF142B" w:rsidRDefault="00BF142B" w:rsidP="005B4F30">
      <w:pPr>
        <w:jc w:val="both"/>
        <w:rPr>
          <w:color w:val="000361"/>
        </w:rPr>
      </w:pPr>
    </w:p>
    <w:p w:rsidR="00BF142B" w:rsidRDefault="00BF142B" w:rsidP="005B4F30">
      <w:pPr>
        <w:jc w:val="both"/>
        <w:rPr>
          <w:rFonts w:ascii="Arial" w:hAnsi="Arial" w:cs="Arial"/>
          <w:color w:val="000361"/>
          <w:sz w:val="20"/>
          <w:szCs w:val="20"/>
        </w:rPr>
      </w:pPr>
      <w:r>
        <w:rPr>
          <w:rFonts w:ascii="Arial" w:hAnsi="Arial" w:cs="Arial"/>
          <w:color w:val="000361"/>
          <w:sz w:val="20"/>
          <w:szCs w:val="20"/>
        </w:rPr>
        <w:t>L’encert estratègic concretat en l’especialització de vaccins per animals de producció a través de potenciar la investigació, el control de totes les fases de la cadena de valor i l’expansió internacional són fonamentals per comprendre l’evolució de l’empresa, com també ho és la responsabilitat social i ètica amb què opera, i l’equilibri econòmic i financer que es desprèn de l’anàlisi dels comptes anuals del període analitzat (2015-2019) i la seva comparació sectorial.</w:t>
      </w:r>
    </w:p>
    <w:p w:rsidR="00BF142B" w:rsidRDefault="00BF142B" w:rsidP="005B4F30">
      <w:pPr>
        <w:jc w:val="both"/>
        <w:rPr>
          <w:color w:val="000361"/>
        </w:rPr>
      </w:pPr>
    </w:p>
    <w:p w:rsidR="00BF142B" w:rsidRDefault="00BF142B" w:rsidP="005B4F30">
      <w:pPr>
        <w:jc w:val="both"/>
        <w:rPr>
          <w:rFonts w:ascii="Arial" w:hAnsi="Arial" w:cs="Arial"/>
          <w:color w:val="000361"/>
          <w:sz w:val="20"/>
          <w:szCs w:val="20"/>
        </w:rPr>
      </w:pPr>
      <w:r>
        <w:rPr>
          <w:rFonts w:ascii="Arial" w:hAnsi="Arial" w:cs="Arial"/>
          <w:color w:val="000361"/>
          <w:sz w:val="20"/>
          <w:szCs w:val="20"/>
        </w:rPr>
        <w:t>En base a l’anàlisi intern i extern de l’empresa, se n’extreuen unes conclusions i recomanacions futures.  Presteu molta atenció a la gran finestra d’oportunitat que se li presenta a Laboratoris Hipra amb la situació pandèmica de la COVID-19.</w:t>
      </w:r>
    </w:p>
    <w:p w:rsidR="00BF142B" w:rsidRDefault="00BF142B" w:rsidP="005B4F30">
      <w:pPr>
        <w:jc w:val="both"/>
        <w:rPr>
          <w:color w:val="000361"/>
        </w:rPr>
      </w:pPr>
    </w:p>
    <w:p w:rsidR="000777D3" w:rsidRDefault="00BF142B" w:rsidP="005B4F30">
      <w:pPr>
        <w:jc w:val="both"/>
        <w:rPr>
          <w:rFonts w:ascii="Arial" w:hAnsi="Arial" w:cs="Arial"/>
          <w:color w:val="000361"/>
          <w:sz w:val="20"/>
          <w:szCs w:val="20"/>
        </w:rPr>
      </w:pPr>
      <w:r>
        <w:rPr>
          <w:rFonts w:ascii="Arial" w:hAnsi="Arial" w:cs="Arial"/>
          <w:color w:val="000361"/>
          <w:sz w:val="20"/>
          <w:szCs w:val="20"/>
        </w:rPr>
        <w:t xml:space="preserve">Paraules clau: Laboratoris Hipra, Sector </w:t>
      </w:r>
      <w:r w:rsidR="001A1E54">
        <w:rPr>
          <w:rFonts w:ascii="Arial" w:hAnsi="Arial" w:cs="Arial"/>
          <w:color w:val="000361"/>
          <w:sz w:val="20"/>
          <w:szCs w:val="20"/>
        </w:rPr>
        <w:t>Farmacèutic</w:t>
      </w:r>
      <w:r>
        <w:rPr>
          <w:rFonts w:ascii="Arial" w:hAnsi="Arial" w:cs="Arial"/>
          <w:color w:val="000361"/>
          <w:sz w:val="20"/>
          <w:szCs w:val="20"/>
        </w:rPr>
        <w:t>, Salut animal, Vaccins, COVID-19, Anàlisis econòmic i financer, Responsabilitat social i ètica.</w:t>
      </w:r>
    </w:p>
    <w:p w:rsidR="000777D3" w:rsidRDefault="000777D3" w:rsidP="005B4F30">
      <w:pPr>
        <w:jc w:val="both"/>
        <w:rPr>
          <w:color w:val="000361"/>
        </w:rPr>
      </w:pPr>
    </w:p>
    <w:p w:rsidR="000777D3" w:rsidRDefault="000777D3" w:rsidP="005B4F30">
      <w:pPr>
        <w:jc w:val="both"/>
        <w:rPr>
          <w:color w:val="00036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805"/>
        <w:gridCol w:w="805"/>
        <w:gridCol w:w="805"/>
        <w:gridCol w:w="805"/>
        <w:gridCol w:w="796"/>
      </w:tblGrid>
      <w:tr w:rsidR="000777D3" w:rsidRPr="000777D3" w:rsidTr="000777D3">
        <w:trPr>
          <w:trHeight w:val="576"/>
        </w:trPr>
        <w:tc>
          <w:tcPr>
            <w:tcW w:w="769" w:type="dxa"/>
          </w:tcPr>
          <w:p w:rsidR="000777D3" w:rsidRPr="000777D3" w:rsidRDefault="000777D3" w:rsidP="005B4F30">
            <w:pPr>
              <w:jc w:val="both"/>
              <w:rPr>
                <w:rFonts w:ascii="Arial" w:hAnsi="Arial" w:cs="Arial"/>
                <w:color w:val="000361"/>
                <w:sz w:val="20"/>
                <w:szCs w:val="20"/>
              </w:rPr>
            </w:pPr>
            <w:r>
              <w:rPr>
                <w:rFonts w:ascii="Arial" w:hAnsi="Arial" w:cs="Arial"/>
                <w:color w:val="000361"/>
                <w:sz w:val="20"/>
                <w:szCs w:val="20"/>
              </w:rPr>
              <w:t>ODS :</w:t>
            </w:r>
          </w:p>
        </w:tc>
        <w:tc>
          <w:tcPr>
            <w:tcW w:w="769" w:type="dxa"/>
          </w:tcPr>
          <w:p w:rsidR="000777D3" w:rsidRPr="000777D3" w:rsidRDefault="000777D3" w:rsidP="005B4F30">
            <w:pPr>
              <w:jc w:val="both"/>
              <w:rPr>
                <w:rFonts w:ascii="Arial" w:hAnsi="Arial" w:cs="Arial"/>
                <w:color w:val="000361"/>
                <w:sz w:val="20"/>
                <w:szCs w:val="20"/>
              </w:rPr>
            </w:pPr>
            <w:r>
              <w:rPr>
                <w:rFonts w:ascii="Arial" w:hAnsi="Arial" w:cs="Arial"/>
                <w:noProof/>
                <w:color w:val="000361"/>
                <w:sz w:val="20"/>
                <w:szCs w:val="20"/>
              </w:rPr>
              <w:drawing>
                <wp:inline distT="0" distB="0" distL="0" distR="0">
                  <wp:extent cx="374073" cy="384392"/>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aptura de pantalla 2021-05-29 a les 12.52.4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9435" cy="410454"/>
                          </a:xfrm>
                          <a:prstGeom prst="rect">
                            <a:avLst/>
                          </a:prstGeom>
                        </pic:spPr>
                      </pic:pic>
                    </a:graphicData>
                  </a:graphic>
                </wp:inline>
              </w:drawing>
            </w:r>
          </w:p>
        </w:tc>
        <w:tc>
          <w:tcPr>
            <w:tcW w:w="769" w:type="dxa"/>
          </w:tcPr>
          <w:p w:rsidR="000777D3" w:rsidRPr="000777D3" w:rsidRDefault="000777D3" w:rsidP="005B4F30">
            <w:pPr>
              <w:jc w:val="both"/>
              <w:rPr>
                <w:rFonts w:ascii="Arial" w:hAnsi="Arial" w:cs="Arial"/>
                <w:color w:val="000361"/>
                <w:sz w:val="20"/>
                <w:szCs w:val="20"/>
              </w:rPr>
            </w:pPr>
            <w:r>
              <w:rPr>
                <w:rFonts w:ascii="Arial" w:hAnsi="Arial" w:cs="Arial"/>
                <w:noProof/>
                <w:color w:val="000361"/>
                <w:sz w:val="20"/>
                <w:szCs w:val="20"/>
              </w:rPr>
              <w:drawing>
                <wp:inline distT="0" distB="0" distL="0" distR="0">
                  <wp:extent cx="374015" cy="37401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aptura de pantalla 2021-05-29 a les 12.53.1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3705" cy="393705"/>
                          </a:xfrm>
                          <a:prstGeom prst="rect">
                            <a:avLst/>
                          </a:prstGeom>
                        </pic:spPr>
                      </pic:pic>
                    </a:graphicData>
                  </a:graphic>
                </wp:inline>
              </w:drawing>
            </w:r>
          </w:p>
        </w:tc>
        <w:tc>
          <w:tcPr>
            <w:tcW w:w="769" w:type="dxa"/>
          </w:tcPr>
          <w:p w:rsidR="000777D3" w:rsidRPr="000777D3" w:rsidRDefault="000777D3" w:rsidP="005B4F30">
            <w:pPr>
              <w:jc w:val="both"/>
              <w:rPr>
                <w:rFonts w:ascii="Arial" w:hAnsi="Arial" w:cs="Arial"/>
                <w:color w:val="000361"/>
                <w:sz w:val="20"/>
                <w:szCs w:val="20"/>
              </w:rPr>
            </w:pPr>
            <w:r>
              <w:rPr>
                <w:rFonts w:ascii="Arial" w:hAnsi="Arial" w:cs="Arial"/>
                <w:noProof/>
                <w:color w:val="000361"/>
                <w:sz w:val="20"/>
                <w:szCs w:val="20"/>
              </w:rPr>
              <w:drawing>
                <wp:inline distT="0" distB="0" distL="0" distR="0">
                  <wp:extent cx="374072" cy="381811"/>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Captura de pantalla 2021-05-29 a les 12.53.4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383" cy="419894"/>
                          </a:xfrm>
                          <a:prstGeom prst="rect">
                            <a:avLst/>
                          </a:prstGeom>
                        </pic:spPr>
                      </pic:pic>
                    </a:graphicData>
                  </a:graphic>
                </wp:inline>
              </w:drawing>
            </w:r>
          </w:p>
        </w:tc>
        <w:tc>
          <w:tcPr>
            <w:tcW w:w="769" w:type="dxa"/>
          </w:tcPr>
          <w:p w:rsidR="000777D3" w:rsidRPr="000777D3" w:rsidRDefault="000777D3" w:rsidP="005B4F30">
            <w:pPr>
              <w:jc w:val="both"/>
              <w:rPr>
                <w:rFonts w:ascii="Arial" w:hAnsi="Arial" w:cs="Arial"/>
                <w:color w:val="000361"/>
                <w:sz w:val="20"/>
                <w:szCs w:val="20"/>
              </w:rPr>
            </w:pPr>
            <w:r>
              <w:rPr>
                <w:rFonts w:ascii="Arial" w:hAnsi="Arial" w:cs="Arial"/>
                <w:noProof/>
                <w:color w:val="000361"/>
                <w:sz w:val="20"/>
                <w:szCs w:val="20"/>
              </w:rPr>
              <w:drawing>
                <wp:inline distT="0" distB="0" distL="0" distR="0">
                  <wp:extent cx="374073" cy="376601"/>
                  <wp:effectExtent l="0" t="0" r="0" b="444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aptura de pantalla 2021-05-29 a les 12.54.0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7868" cy="420692"/>
                          </a:xfrm>
                          <a:prstGeom prst="rect">
                            <a:avLst/>
                          </a:prstGeom>
                        </pic:spPr>
                      </pic:pic>
                    </a:graphicData>
                  </a:graphic>
                </wp:inline>
              </w:drawing>
            </w:r>
          </w:p>
        </w:tc>
        <w:tc>
          <w:tcPr>
            <w:tcW w:w="769" w:type="dxa"/>
          </w:tcPr>
          <w:p w:rsidR="000777D3" w:rsidRPr="000777D3" w:rsidRDefault="000777D3" w:rsidP="005B4F30">
            <w:pPr>
              <w:jc w:val="both"/>
              <w:rPr>
                <w:rFonts w:ascii="Arial" w:hAnsi="Arial" w:cs="Arial"/>
                <w:color w:val="000361"/>
                <w:sz w:val="20"/>
                <w:szCs w:val="20"/>
              </w:rPr>
            </w:pPr>
            <w:r>
              <w:rPr>
                <w:rFonts w:ascii="Arial" w:hAnsi="Arial" w:cs="Arial"/>
                <w:noProof/>
                <w:color w:val="000361"/>
                <w:sz w:val="20"/>
                <w:szCs w:val="20"/>
              </w:rPr>
              <w:drawing>
                <wp:inline distT="0" distB="0" distL="0" distR="0">
                  <wp:extent cx="365760" cy="373276"/>
                  <wp:effectExtent l="0" t="0" r="254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Captura de pantalla 2021-05-29 a les 12.54.26.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2079" cy="389931"/>
                          </a:xfrm>
                          <a:prstGeom prst="rect">
                            <a:avLst/>
                          </a:prstGeom>
                        </pic:spPr>
                      </pic:pic>
                    </a:graphicData>
                  </a:graphic>
                </wp:inline>
              </w:drawing>
            </w:r>
          </w:p>
        </w:tc>
      </w:tr>
    </w:tbl>
    <w:p w:rsidR="00E10060" w:rsidRPr="000777D3" w:rsidRDefault="00E10060" w:rsidP="005B4F30">
      <w:pPr>
        <w:jc w:val="both"/>
        <w:rPr>
          <w:rFonts w:ascii="Arial" w:hAnsi="Arial" w:cs="Arial"/>
          <w:color w:val="000361"/>
          <w:sz w:val="20"/>
          <w:szCs w:val="20"/>
        </w:rPr>
      </w:pPr>
      <w:r w:rsidRPr="004E038A">
        <w:rPr>
          <w:color w:val="000361"/>
        </w:rPr>
        <w:br w:type="page"/>
      </w:r>
    </w:p>
    <w:p w:rsidR="005B4F30" w:rsidRPr="004E038A" w:rsidRDefault="005B4F30" w:rsidP="005B4F30">
      <w:pPr>
        <w:jc w:val="both"/>
        <w:rPr>
          <w:rFonts w:ascii="Arial" w:hAnsi="Arial" w:cs="Arial"/>
          <w:b/>
          <w:color w:val="000361"/>
        </w:rPr>
      </w:pPr>
      <w:r w:rsidRPr="004E038A">
        <w:rPr>
          <w:rFonts w:ascii="Arial" w:hAnsi="Arial" w:cs="Arial"/>
          <w:b/>
          <w:color w:val="000361"/>
        </w:rPr>
        <w:lastRenderedPageBreak/>
        <w:t>Abstract</w:t>
      </w:r>
    </w:p>
    <w:p w:rsidR="005B4F30" w:rsidRPr="004E038A" w:rsidRDefault="005B4F30" w:rsidP="005B4F30">
      <w:pPr>
        <w:jc w:val="both"/>
        <w:rPr>
          <w:color w:val="000361"/>
        </w:rPr>
      </w:pPr>
    </w:p>
    <w:p w:rsidR="00220ABB" w:rsidRPr="00220ABB" w:rsidRDefault="00220ABB" w:rsidP="00220ABB">
      <w:pPr>
        <w:jc w:val="both"/>
        <w:rPr>
          <w:rFonts w:ascii="Arial" w:hAnsi="Arial" w:cs="Arial"/>
          <w:color w:val="002060"/>
          <w:sz w:val="20"/>
          <w:szCs w:val="20"/>
        </w:rPr>
      </w:pPr>
      <w:r w:rsidRPr="00220ABB">
        <w:rPr>
          <w:rFonts w:ascii="Arial" w:hAnsi="Arial" w:cs="Arial"/>
          <w:color w:val="002060"/>
          <w:sz w:val="20"/>
          <w:szCs w:val="20"/>
        </w:rPr>
        <w:t>Laboratoris Hipra is a family business that has managed to position itself among the 20 companies with the highest turnover in the world in the pharmaceutical sector in animal health prevention. This company is increasingly visible in the media for its investment in new facilities and also in the job market, headhunting skilled staff, which shows the company’s desire to grow and achieve more ambitious goals.</w:t>
      </w:r>
    </w:p>
    <w:p w:rsidR="00220ABB" w:rsidRPr="00220ABB" w:rsidRDefault="00220ABB" w:rsidP="00220ABB">
      <w:pPr>
        <w:jc w:val="both"/>
        <w:rPr>
          <w:rFonts w:ascii="Arial" w:hAnsi="Arial" w:cs="Arial"/>
          <w:color w:val="002060"/>
          <w:sz w:val="20"/>
          <w:szCs w:val="20"/>
        </w:rPr>
      </w:pPr>
    </w:p>
    <w:p w:rsidR="00220ABB" w:rsidRPr="00220ABB" w:rsidRDefault="00220ABB" w:rsidP="00220ABB">
      <w:pPr>
        <w:jc w:val="both"/>
        <w:rPr>
          <w:rFonts w:ascii="Arial" w:hAnsi="Arial" w:cs="Arial"/>
          <w:color w:val="002060"/>
          <w:sz w:val="20"/>
          <w:szCs w:val="20"/>
        </w:rPr>
      </w:pPr>
      <w:r w:rsidRPr="00220ABB">
        <w:rPr>
          <w:rFonts w:ascii="Arial" w:hAnsi="Arial" w:cs="Arial"/>
          <w:color w:val="002060"/>
          <w:sz w:val="20"/>
          <w:szCs w:val="20"/>
        </w:rPr>
        <w:t>This study explains aspects that have been and continue to be decisive in its growth, which Laboratoris Hipra is experiencing in a sector dominated by large multinational companies.</w:t>
      </w:r>
    </w:p>
    <w:p w:rsidR="00220ABB" w:rsidRPr="00220ABB" w:rsidRDefault="00220ABB" w:rsidP="00220ABB">
      <w:pPr>
        <w:jc w:val="both"/>
        <w:rPr>
          <w:rFonts w:ascii="Arial" w:hAnsi="Arial" w:cs="Arial"/>
          <w:color w:val="002060"/>
          <w:sz w:val="20"/>
          <w:szCs w:val="20"/>
        </w:rPr>
      </w:pPr>
    </w:p>
    <w:p w:rsidR="00220ABB" w:rsidRPr="00220ABB" w:rsidRDefault="00220ABB" w:rsidP="00220ABB">
      <w:pPr>
        <w:jc w:val="both"/>
        <w:rPr>
          <w:rFonts w:ascii="Arial" w:hAnsi="Arial" w:cs="Arial"/>
          <w:color w:val="002060"/>
          <w:sz w:val="20"/>
          <w:szCs w:val="20"/>
        </w:rPr>
      </w:pPr>
      <w:r w:rsidRPr="00220ABB">
        <w:rPr>
          <w:rFonts w:ascii="Arial" w:hAnsi="Arial" w:cs="Arial"/>
          <w:color w:val="002060"/>
          <w:sz w:val="20"/>
          <w:szCs w:val="20"/>
        </w:rPr>
        <w:t>The strategic success lies in vaccine specialization in livestock through enhanced research, control of all phases of the value chain and international expansion are essential to understand the evolution of the company, as is the social and ethical responsibility with which it operates, and the economic and financial balance that emerges from the analysis of the annual accounts for the period analyzed (2015-2019) and the comparison within its sector.</w:t>
      </w:r>
    </w:p>
    <w:p w:rsidR="00220ABB" w:rsidRPr="00220ABB" w:rsidRDefault="00220ABB" w:rsidP="00220ABB">
      <w:pPr>
        <w:jc w:val="both"/>
        <w:rPr>
          <w:rFonts w:ascii="Arial" w:hAnsi="Arial" w:cs="Arial"/>
          <w:color w:val="002060"/>
          <w:sz w:val="20"/>
          <w:szCs w:val="20"/>
        </w:rPr>
      </w:pPr>
    </w:p>
    <w:p w:rsidR="00220ABB" w:rsidRPr="00220ABB" w:rsidRDefault="00220ABB" w:rsidP="00220ABB">
      <w:pPr>
        <w:jc w:val="both"/>
        <w:rPr>
          <w:rFonts w:ascii="Arial" w:hAnsi="Arial" w:cs="Arial"/>
          <w:color w:val="002060"/>
          <w:sz w:val="20"/>
          <w:szCs w:val="20"/>
        </w:rPr>
      </w:pPr>
      <w:r w:rsidRPr="00220ABB">
        <w:rPr>
          <w:rFonts w:ascii="Arial" w:hAnsi="Arial" w:cs="Arial"/>
          <w:color w:val="002060"/>
          <w:sz w:val="20"/>
          <w:szCs w:val="20"/>
        </w:rPr>
        <w:t>Based on the internal and external analysis of the company, future conclusions and recommendations are made. Attention is drawn to the large window of opportunity presented to Laboratoris Hipra with the pandemic situation of COVID-19.</w:t>
      </w:r>
    </w:p>
    <w:p w:rsidR="00220ABB" w:rsidRPr="00220ABB" w:rsidRDefault="00220ABB" w:rsidP="00220ABB">
      <w:pPr>
        <w:jc w:val="both"/>
        <w:rPr>
          <w:rFonts w:ascii="Arial" w:hAnsi="Arial" w:cs="Arial"/>
          <w:color w:val="002060"/>
          <w:sz w:val="20"/>
          <w:szCs w:val="20"/>
        </w:rPr>
      </w:pPr>
    </w:p>
    <w:p w:rsidR="000777D3" w:rsidRDefault="00220ABB" w:rsidP="00220ABB">
      <w:pPr>
        <w:jc w:val="both"/>
        <w:rPr>
          <w:rFonts w:ascii="Arial" w:hAnsi="Arial" w:cs="Arial"/>
          <w:color w:val="002060"/>
          <w:sz w:val="20"/>
          <w:szCs w:val="20"/>
        </w:rPr>
      </w:pPr>
      <w:r w:rsidRPr="00220ABB">
        <w:rPr>
          <w:rFonts w:ascii="Arial" w:hAnsi="Arial" w:cs="Arial"/>
          <w:color w:val="002060"/>
          <w:sz w:val="20"/>
          <w:szCs w:val="20"/>
        </w:rPr>
        <w:t>Keywords: Laboratoris Hipra, Pharmaceutical Sector, Animal Health, Vaccines, COVID-19, Economic and Financial Analysis, Social and Ethical Responsibility.</w:t>
      </w:r>
    </w:p>
    <w:p w:rsidR="000777D3" w:rsidRDefault="000777D3" w:rsidP="00220ABB">
      <w:pPr>
        <w:jc w:val="both"/>
        <w:rPr>
          <w:color w:val="000361"/>
        </w:rPr>
      </w:pPr>
    </w:p>
    <w:p w:rsidR="000777D3" w:rsidRDefault="000777D3" w:rsidP="00220ABB">
      <w:pPr>
        <w:jc w:val="both"/>
        <w:rPr>
          <w:color w:val="00036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
        <w:gridCol w:w="799"/>
        <w:gridCol w:w="818"/>
        <w:gridCol w:w="818"/>
        <w:gridCol w:w="836"/>
        <w:gridCol w:w="805"/>
      </w:tblGrid>
      <w:tr w:rsidR="000777D3" w:rsidRPr="000777D3" w:rsidTr="000777D3">
        <w:trPr>
          <w:trHeight w:val="524"/>
        </w:trPr>
        <w:tc>
          <w:tcPr>
            <w:tcW w:w="781" w:type="dxa"/>
          </w:tcPr>
          <w:p w:rsidR="000777D3" w:rsidRPr="000777D3" w:rsidRDefault="000777D3" w:rsidP="001B7CBB">
            <w:pPr>
              <w:jc w:val="both"/>
              <w:rPr>
                <w:rFonts w:ascii="Arial" w:hAnsi="Arial" w:cs="Arial"/>
                <w:color w:val="000361"/>
                <w:sz w:val="20"/>
                <w:szCs w:val="20"/>
              </w:rPr>
            </w:pPr>
            <w:r>
              <w:rPr>
                <w:rFonts w:ascii="Arial" w:hAnsi="Arial" w:cs="Arial"/>
                <w:color w:val="000361"/>
                <w:sz w:val="20"/>
                <w:szCs w:val="20"/>
              </w:rPr>
              <w:t>ODS :</w:t>
            </w:r>
          </w:p>
        </w:tc>
        <w:tc>
          <w:tcPr>
            <w:tcW w:w="781" w:type="dxa"/>
          </w:tcPr>
          <w:p w:rsidR="000777D3" w:rsidRPr="000777D3" w:rsidRDefault="000777D3" w:rsidP="001B7CBB">
            <w:pPr>
              <w:jc w:val="both"/>
              <w:rPr>
                <w:rFonts w:ascii="Arial" w:hAnsi="Arial" w:cs="Arial"/>
                <w:color w:val="000361"/>
                <w:sz w:val="20"/>
                <w:szCs w:val="20"/>
              </w:rPr>
            </w:pPr>
            <w:r>
              <w:rPr>
                <w:rFonts w:ascii="Arial" w:hAnsi="Arial" w:cs="Arial"/>
                <w:noProof/>
                <w:color w:val="000361"/>
                <w:sz w:val="20"/>
                <w:szCs w:val="20"/>
              </w:rPr>
              <w:drawing>
                <wp:inline distT="0" distB="0" distL="0" distR="0">
                  <wp:extent cx="370590" cy="37274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aptura de pantalla 2021-05-29 a les 12.58.1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2300" cy="384523"/>
                          </a:xfrm>
                          <a:prstGeom prst="rect">
                            <a:avLst/>
                          </a:prstGeom>
                        </pic:spPr>
                      </pic:pic>
                    </a:graphicData>
                  </a:graphic>
                </wp:inline>
              </w:drawing>
            </w:r>
          </w:p>
        </w:tc>
        <w:tc>
          <w:tcPr>
            <w:tcW w:w="782" w:type="dxa"/>
          </w:tcPr>
          <w:p w:rsidR="000777D3" w:rsidRPr="000777D3" w:rsidRDefault="000777D3" w:rsidP="001B7CBB">
            <w:pPr>
              <w:jc w:val="both"/>
              <w:rPr>
                <w:rFonts w:ascii="Arial" w:hAnsi="Arial" w:cs="Arial"/>
                <w:color w:val="000361"/>
                <w:sz w:val="20"/>
                <w:szCs w:val="20"/>
              </w:rPr>
            </w:pPr>
            <w:r>
              <w:rPr>
                <w:rFonts w:ascii="Arial" w:hAnsi="Arial" w:cs="Arial"/>
                <w:noProof/>
                <w:color w:val="000361"/>
                <w:sz w:val="20"/>
                <w:szCs w:val="20"/>
              </w:rPr>
              <w:drawing>
                <wp:inline distT="0" distB="0" distL="0" distR="0">
                  <wp:extent cx="382386" cy="382386"/>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aptura de pantalla 2021-05-29 a les 12.58.28.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6092" cy="396092"/>
                          </a:xfrm>
                          <a:prstGeom prst="rect">
                            <a:avLst/>
                          </a:prstGeom>
                        </pic:spPr>
                      </pic:pic>
                    </a:graphicData>
                  </a:graphic>
                </wp:inline>
              </w:drawing>
            </w:r>
          </w:p>
        </w:tc>
        <w:tc>
          <w:tcPr>
            <w:tcW w:w="782" w:type="dxa"/>
          </w:tcPr>
          <w:p w:rsidR="000777D3" w:rsidRPr="000777D3" w:rsidRDefault="000777D3" w:rsidP="001B7CBB">
            <w:pPr>
              <w:jc w:val="both"/>
              <w:rPr>
                <w:rFonts w:ascii="Arial" w:hAnsi="Arial" w:cs="Arial"/>
                <w:color w:val="000361"/>
                <w:sz w:val="20"/>
                <w:szCs w:val="20"/>
              </w:rPr>
            </w:pPr>
            <w:r>
              <w:rPr>
                <w:rFonts w:ascii="Arial" w:hAnsi="Arial" w:cs="Arial"/>
                <w:noProof/>
                <w:color w:val="000361"/>
                <w:sz w:val="20"/>
                <w:szCs w:val="20"/>
              </w:rPr>
              <w:drawing>
                <wp:inline distT="0" distB="0" distL="0" distR="0">
                  <wp:extent cx="382385" cy="380175"/>
                  <wp:effectExtent l="0" t="0" r="0" b="127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Captura de pantalla 2021-05-29 a les 12.58.4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6406" cy="404057"/>
                          </a:xfrm>
                          <a:prstGeom prst="rect">
                            <a:avLst/>
                          </a:prstGeom>
                        </pic:spPr>
                      </pic:pic>
                    </a:graphicData>
                  </a:graphic>
                </wp:inline>
              </w:drawing>
            </w:r>
          </w:p>
        </w:tc>
        <w:tc>
          <w:tcPr>
            <w:tcW w:w="782" w:type="dxa"/>
          </w:tcPr>
          <w:p w:rsidR="000777D3" w:rsidRPr="000777D3" w:rsidRDefault="000777D3" w:rsidP="001B7CBB">
            <w:pPr>
              <w:jc w:val="both"/>
              <w:rPr>
                <w:rFonts w:ascii="Arial" w:hAnsi="Arial" w:cs="Arial"/>
                <w:color w:val="000361"/>
                <w:sz w:val="20"/>
                <w:szCs w:val="20"/>
              </w:rPr>
            </w:pPr>
            <w:r>
              <w:rPr>
                <w:rFonts w:ascii="Arial" w:hAnsi="Arial" w:cs="Arial"/>
                <w:noProof/>
                <w:color w:val="000361"/>
                <w:sz w:val="20"/>
                <w:szCs w:val="20"/>
              </w:rPr>
              <w:drawing>
                <wp:inline distT="0" distB="0" distL="0" distR="0">
                  <wp:extent cx="390698" cy="384000"/>
                  <wp:effectExtent l="0" t="0" r="3175"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Captura de pantalla 2021-05-29 a les 12.58.53.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2528" cy="405456"/>
                          </a:xfrm>
                          <a:prstGeom prst="rect">
                            <a:avLst/>
                          </a:prstGeom>
                        </pic:spPr>
                      </pic:pic>
                    </a:graphicData>
                  </a:graphic>
                </wp:inline>
              </w:drawing>
            </w:r>
          </w:p>
        </w:tc>
        <w:tc>
          <w:tcPr>
            <w:tcW w:w="782" w:type="dxa"/>
          </w:tcPr>
          <w:p w:rsidR="000777D3" w:rsidRPr="000777D3" w:rsidRDefault="000777D3" w:rsidP="001B7CBB">
            <w:pPr>
              <w:jc w:val="both"/>
              <w:rPr>
                <w:rFonts w:ascii="Arial" w:hAnsi="Arial" w:cs="Arial"/>
                <w:color w:val="000361"/>
                <w:sz w:val="20"/>
                <w:szCs w:val="20"/>
              </w:rPr>
            </w:pPr>
            <w:r>
              <w:rPr>
                <w:rFonts w:ascii="Arial" w:hAnsi="Arial" w:cs="Arial"/>
                <w:noProof/>
                <w:color w:val="000361"/>
                <w:sz w:val="20"/>
                <w:szCs w:val="20"/>
              </w:rPr>
              <w:drawing>
                <wp:inline distT="0" distB="0" distL="0" distR="0">
                  <wp:extent cx="374073" cy="371898"/>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Captura de pantalla 2021-05-29 a les 12.59.0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9737" cy="387471"/>
                          </a:xfrm>
                          <a:prstGeom prst="rect">
                            <a:avLst/>
                          </a:prstGeom>
                        </pic:spPr>
                      </pic:pic>
                    </a:graphicData>
                  </a:graphic>
                </wp:inline>
              </w:drawing>
            </w:r>
          </w:p>
        </w:tc>
      </w:tr>
    </w:tbl>
    <w:p w:rsidR="00E10060" w:rsidRPr="004E038A" w:rsidRDefault="00E10060" w:rsidP="00220ABB">
      <w:pPr>
        <w:jc w:val="both"/>
        <w:rPr>
          <w:color w:val="000361"/>
        </w:rPr>
      </w:pPr>
      <w:r w:rsidRPr="004E038A">
        <w:rPr>
          <w:color w:val="000361"/>
        </w:rPr>
        <w:br w:type="page"/>
      </w:r>
    </w:p>
    <w:p w:rsidR="00A01550" w:rsidRPr="004E038A" w:rsidRDefault="006E1155" w:rsidP="005B4F30">
      <w:pPr>
        <w:jc w:val="both"/>
        <w:rPr>
          <w:rFonts w:ascii="Arial" w:hAnsi="Arial" w:cs="Arial"/>
          <w:b/>
          <w:color w:val="000361"/>
        </w:rPr>
      </w:pPr>
      <w:r w:rsidRPr="004E038A">
        <w:rPr>
          <w:rFonts w:ascii="Arial" w:hAnsi="Arial" w:cs="Arial"/>
          <w:b/>
          <w:color w:val="000361"/>
        </w:rPr>
        <w:lastRenderedPageBreak/>
        <w:t>INTRODUCCIÓ</w:t>
      </w:r>
    </w:p>
    <w:p w:rsidR="00A01550" w:rsidRPr="004E038A" w:rsidRDefault="00A01550" w:rsidP="005B4F30">
      <w:pPr>
        <w:jc w:val="both"/>
        <w:rPr>
          <w:rFonts w:ascii="Arial" w:hAnsi="Arial" w:cs="Arial"/>
          <w:b/>
          <w:color w:val="000361"/>
        </w:rPr>
      </w:pPr>
    </w:p>
    <w:p w:rsidR="00A01550" w:rsidRDefault="00A01550" w:rsidP="00A01550">
      <w:pPr>
        <w:jc w:val="both"/>
        <w:rPr>
          <w:rFonts w:ascii="Arial" w:hAnsi="Arial" w:cs="Arial"/>
          <w:color w:val="000361"/>
          <w:sz w:val="20"/>
          <w:szCs w:val="20"/>
        </w:rPr>
      </w:pPr>
      <w:r w:rsidRPr="004E038A">
        <w:rPr>
          <w:rFonts w:ascii="Arial" w:hAnsi="Arial" w:cs="Arial"/>
          <w:color w:val="000361"/>
          <w:sz w:val="20"/>
          <w:szCs w:val="20"/>
        </w:rPr>
        <w:t>Laboratoris H</w:t>
      </w:r>
      <w:r w:rsidR="00D51D8D">
        <w:rPr>
          <w:rFonts w:ascii="Arial" w:hAnsi="Arial" w:cs="Arial"/>
          <w:color w:val="000361"/>
          <w:sz w:val="20"/>
          <w:szCs w:val="20"/>
        </w:rPr>
        <w:t>ipra</w:t>
      </w:r>
      <w:r w:rsidRPr="004E038A">
        <w:rPr>
          <w:rFonts w:ascii="Arial" w:hAnsi="Arial" w:cs="Arial"/>
          <w:color w:val="000361"/>
          <w:sz w:val="20"/>
          <w:szCs w:val="20"/>
        </w:rPr>
        <w:t xml:space="preserve"> és l’empresa que serà objecte d’estudi en aquest projecte de final de grau. Una empresa familiar que va sorgir fa més de 60 anys</w:t>
      </w:r>
      <w:r w:rsidR="00BF5C7D">
        <w:rPr>
          <w:rFonts w:ascii="Arial" w:hAnsi="Arial" w:cs="Arial"/>
          <w:color w:val="000361"/>
          <w:sz w:val="20"/>
          <w:szCs w:val="20"/>
        </w:rPr>
        <w:t xml:space="preserve"> que es troba</w:t>
      </w:r>
      <w:r w:rsidRPr="004E038A">
        <w:rPr>
          <w:rFonts w:ascii="Arial" w:hAnsi="Arial" w:cs="Arial"/>
          <w:color w:val="000361"/>
          <w:sz w:val="20"/>
          <w:szCs w:val="20"/>
        </w:rPr>
        <w:t xml:space="preserve"> ubicada al petit poble gironí d’Amer i que els últims anys s’ha consolidat com a referent mundial dins els sector especialitza</w:t>
      </w:r>
      <w:r w:rsidR="00E10060" w:rsidRPr="004E038A">
        <w:rPr>
          <w:rFonts w:ascii="Arial" w:hAnsi="Arial" w:cs="Arial"/>
          <w:color w:val="000361"/>
          <w:sz w:val="20"/>
          <w:szCs w:val="20"/>
        </w:rPr>
        <w:t>nt-se</w:t>
      </w:r>
      <w:r w:rsidRPr="004E038A">
        <w:rPr>
          <w:rFonts w:ascii="Arial" w:hAnsi="Arial" w:cs="Arial"/>
          <w:color w:val="000361"/>
          <w:sz w:val="20"/>
          <w:szCs w:val="20"/>
        </w:rPr>
        <w:t xml:space="preserve"> en prevenció de la salut animal amb un creixement constant</w:t>
      </w:r>
      <w:r w:rsidR="006F7E2D">
        <w:rPr>
          <w:rFonts w:ascii="Arial" w:hAnsi="Arial" w:cs="Arial"/>
          <w:color w:val="000361"/>
          <w:sz w:val="20"/>
          <w:szCs w:val="20"/>
        </w:rPr>
        <w:t xml:space="preserve"> i sostingut</w:t>
      </w:r>
      <w:r w:rsidRPr="004E038A">
        <w:rPr>
          <w:rFonts w:ascii="Arial" w:hAnsi="Arial" w:cs="Arial"/>
          <w:color w:val="000361"/>
          <w:sz w:val="20"/>
          <w:szCs w:val="20"/>
        </w:rPr>
        <w:t xml:space="preserve"> des de 2008. </w:t>
      </w:r>
    </w:p>
    <w:p w:rsidR="009E4683" w:rsidRDefault="009E4683" w:rsidP="00A01550">
      <w:pPr>
        <w:jc w:val="both"/>
        <w:rPr>
          <w:rFonts w:ascii="Arial" w:hAnsi="Arial" w:cs="Arial"/>
          <w:b/>
          <w:color w:val="000361"/>
          <w:sz w:val="20"/>
          <w:szCs w:val="20"/>
        </w:rPr>
      </w:pPr>
    </w:p>
    <w:p w:rsidR="009E4683" w:rsidRPr="004E038A" w:rsidRDefault="009E4683" w:rsidP="009E4683">
      <w:pPr>
        <w:jc w:val="both"/>
        <w:rPr>
          <w:rFonts w:ascii="Arial" w:hAnsi="Arial" w:cs="Arial"/>
          <w:color w:val="000361"/>
          <w:sz w:val="20"/>
          <w:szCs w:val="20"/>
        </w:rPr>
      </w:pPr>
      <w:r w:rsidRPr="004E038A">
        <w:rPr>
          <w:rFonts w:ascii="Arial" w:hAnsi="Arial" w:cs="Arial"/>
          <w:color w:val="000361"/>
          <w:sz w:val="20"/>
          <w:szCs w:val="20"/>
        </w:rPr>
        <w:t>Laboratoris H</w:t>
      </w:r>
      <w:r w:rsidR="00D51D8D">
        <w:rPr>
          <w:rFonts w:ascii="Arial" w:hAnsi="Arial" w:cs="Arial"/>
          <w:color w:val="000361"/>
          <w:sz w:val="20"/>
          <w:szCs w:val="20"/>
        </w:rPr>
        <w:t>ipra</w:t>
      </w:r>
      <w:r w:rsidRPr="004E038A">
        <w:rPr>
          <w:rFonts w:ascii="Arial" w:hAnsi="Arial" w:cs="Arial"/>
          <w:color w:val="000361"/>
          <w:sz w:val="20"/>
          <w:szCs w:val="20"/>
        </w:rPr>
        <w:t xml:space="preserve"> actualment disposa de uns 2000 treballadors, té dues plantes productives, a Amer (Girona) i una altra a Porto Alegre (Brasil) i 10 laboratoris de Diagnòstic. La seva facturació l’any 2019 va ser d</w:t>
      </w:r>
      <w:r>
        <w:rPr>
          <w:rFonts w:ascii="Arial" w:hAnsi="Arial" w:cs="Arial"/>
          <w:color w:val="000361"/>
          <w:sz w:val="20"/>
          <w:szCs w:val="20"/>
        </w:rPr>
        <w:t>’uns</w:t>
      </w:r>
      <w:r w:rsidRPr="004E038A">
        <w:rPr>
          <w:rFonts w:ascii="Arial" w:hAnsi="Arial" w:cs="Arial"/>
          <w:color w:val="000361"/>
          <w:sz w:val="20"/>
          <w:szCs w:val="20"/>
        </w:rPr>
        <w:t xml:space="preserve"> 300 milions d’euros, un 85% d’aquests ingressos provenen del comerç de la seva especialitat, </w:t>
      </w:r>
      <w:r w:rsidR="001A1E54">
        <w:rPr>
          <w:rFonts w:ascii="Arial" w:hAnsi="Arial" w:cs="Arial"/>
          <w:color w:val="000361"/>
          <w:sz w:val="20"/>
          <w:szCs w:val="20"/>
        </w:rPr>
        <w:t>els vaccins</w:t>
      </w:r>
      <w:r w:rsidRPr="004E038A">
        <w:rPr>
          <w:rFonts w:ascii="Arial" w:hAnsi="Arial" w:cs="Arial"/>
          <w:color w:val="000361"/>
          <w:sz w:val="20"/>
          <w:szCs w:val="20"/>
        </w:rPr>
        <w:t xml:space="preserve"> animals. Tot un èxit tenint en compte que intervé en un sector on competeixen grans multinacionals farmacèutiques que cotitzen a borsa, i per tant </w:t>
      </w:r>
      <w:r>
        <w:rPr>
          <w:rFonts w:ascii="Arial" w:hAnsi="Arial" w:cs="Arial"/>
          <w:color w:val="000361"/>
          <w:sz w:val="20"/>
          <w:szCs w:val="20"/>
        </w:rPr>
        <w:t>disposen d’una</w:t>
      </w:r>
      <w:r w:rsidRPr="004E038A">
        <w:rPr>
          <w:rFonts w:ascii="Arial" w:hAnsi="Arial" w:cs="Arial"/>
          <w:color w:val="000361"/>
          <w:sz w:val="20"/>
          <w:szCs w:val="20"/>
        </w:rPr>
        <w:t xml:space="preserve"> gran capacitat d’acc</w:t>
      </w:r>
      <w:r>
        <w:rPr>
          <w:rFonts w:ascii="Arial" w:hAnsi="Arial" w:cs="Arial"/>
          <w:color w:val="000361"/>
          <w:sz w:val="20"/>
          <w:szCs w:val="20"/>
        </w:rPr>
        <w:t>és</w:t>
      </w:r>
      <w:r w:rsidRPr="004E038A">
        <w:rPr>
          <w:rFonts w:ascii="Arial" w:hAnsi="Arial" w:cs="Arial"/>
          <w:color w:val="000361"/>
          <w:sz w:val="20"/>
          <w:szCs w:val="20"/>
        </w:rPr>
        <w:t xml:space="preserve"> a recursos financers, tals com Zoetis (abans Pfizer), </w:t>
      </w:r>
      <w:r w:rsidR="003B5BA9">
        <w:rPr>
          <w:rFonts w:ascii="Arial" w:hAnsi="Arial" w:cs="Arial"/>
          <w:color w:val="000361"/>
          <w:sz w:val="20"/>
          <w:szCs w:val="20"/>
        </w:rPr>
        <w:t>Neogen</w:t>
      </w:r>
      <w:r w:rsidRPr="004E038A">
        <w:rPr>
          <w:rFonts w:ascii="Arial" w:hAnsi="Arial" w:cs="Arial"/>
          <w:color w:val="000361"/>
          <w:sz w:val="20"/>
          <w:szCs w:val="20"/>
        </w:rPr>
        <w:t xml:space="preserve">, Virbac,... </w:t>
      </w:r>
    </w:p>
    <w:p w:rsidR="009E4683" w:rsidRPr="004E038A" w:rsidRDefault="009E4683" w:rsidP="009E4683">
      <w:pPr>
        <w:jc w:val="both"/>
        <w:rPr>
          <w:rFonts w:ascii="Arial" w:hAnsi="Arial" w:cs="Arial"/>
          <w:color w:val="000361"/>
          <w:sz w:val="20"/>
          <w:szCs w:val="20"/>
        </w:rPr>
      </w:pPr>
    </w:p>
    <w:p w:rsidR="009E4683" w:rsidRPr="004E038A" w:rsidRDefault="009E4683" w:rsidP="009E4683">
      <w:pPr>
        <w:jc w:val="both"/>
        <w:rPr>
          <w:rFonts w:ascii="Arial" w:hAnsi="Arial" w:cs="Arial"/>
          <w:color w:val="000361"/>
          <w:sz w:val="20"/>
          <w:szCs w:val="20"/>
        </w:rPr>
      </w:pPr>
      <w:r w:rsidRPr="004E038A">
        <w:rPr>
          <w:rFonts w:ascii="Arial" w:hAnsi="Arial" w:cs="Arial"/>
          <w:color w:val="000361"/>
          <w:sz w:val="20"/>
          <w:szCs w:val="20"/>
        </w:rPr>
        <w:t xml:space="preserve">Les grans multinacionals farmacèutiques solen tenir diversificat el negoci </w:t>
      </w:r>
      <w:r w:rsidR="00BF142B">
        <w:rPr>
          <w:rFonts w:ascii="Arial" w:hAnsi="Arial" w:cs="Arial"/>
          <w:color w:val="000361"/>
          <w:sz w:val="20"/>
          <w:szCs w:val="20"/>
        </w:rPr>
        <w:t>i encara que centren el seu interès principalment</w:t>
      </w:r>
      <w:r w:rsidRPr="004E038A">
        <w:rPr>
          <w:rFonts w:ascii="Arial" w:hAnsi="Arial" w:cs="Arial"/>
          <w:color w:val="000361"/>
          <w:sz w:val="20"/>
          <w:szCs w:val="20"/>
        </w:rPr>
        <w:t xml:space="preserve"> en productes farmacèutics relacionats amb la salut humana </w:t>
      </w:r>
      <w:r w:rsidR="00BF142B">
        <w:rPr>
          <w:rFonts w:ascii="Arial" w:hAnsi="Arial" w:cs="Arial"/>
          <w:color w:val="000361"/>
          <w:sz w:val="20"/>
          <w:szCs w:val="20"/>
        </w:rPr>
        <w:t>(</w:t>
      </w:r>
      <w:r w:rsidRPr="004E038A">
        <w:rPr>
          <w:rFonts w:ascii="Arial" w:hAnsi="Arial" w:cs="Arial"/>
          <w:color w:val="000361"/>
          <w:sz w:val="20"/>
          <w:szCs w:val="20"/>
        </w:rPr>
        <w:t xml:space="preserve">perquè </w:t>
      </w:r>
      <w:r w:rsidR="00BF142B">
        <w:rPr>
          <w:rFonts w:ascii="Arial" w:hAnsi="Arial" w:cs="Arial"/>
          <w:color w:val="000361"/>
          <w:sz w:val="20"/>
          <w:szCs w:val="20"/>
        </w:rPr>
        <w:t>és un mercat molt gran)</w:t>
      </w:r>
      <w:r w:rsidRPr="004E038A">
        <w:rPr>
          <w:rFonts w:ascii="Arial" w:hAnsi="Arial" w:cs="Arial"/>
          <w:color w:val="000361"/>
          <w:sz w:val="20"/>
          <w:szCs w:val="20"/>
        </w:rPr>
        <w:t>, algunes d’elles també participen en salut animal on podem distingir 2 grans grups: animals domèstics i animals de producció. El volum de negoci dedicat als animals domèstics l’any 2019 representava un 46% del comerç mundial de productes de salut animal, mentre que els animals de producció suposa el 54% restant. Laboratoris H</w:t>
      </w:r>
      <w:r w:rsidR="00D51D8D">
        <w:rPr>
          <w:rFonts w:ascii="Arial" w:hAnsi="Arial" w:cs="Arial"/>
          <w:color w:val="000361"/>
          <w:sz w:val="20"/>
          <w:szCs w:val="20"/>
        </w:rPr>
        <w:t>ipra</w:t>
      </w:r>
      <w:r w:rsidRPr="004E038A">
        <w:rPr>
          <w:rFonts w:ascii="Arial" w:hAnsi="Arial" w:cs="Arial"/>
          <w:color w:val="000361"/>
          <w:sz w:val="20"/>
          <w:szCs w:val="20"/>
        </w:rPr>
        <w:t xml:space="preserve"> ha focalitzat la seva activitat empresarial en els animals de producció i específicament un nínxol de mercat que consisteix en la prevenció de la salut dels animal de producció, per mitjà de </w:t>
      </w:r>
      <w:r w:rsidR="00BF142B">
        <w:rPr>
          <w:rFonts w:ascii="Arial" w:hAnsi="Arial" w:cs="Arial"/>
          <w:color w:val="000361"/>
          <w:sz w:val="20"/>
          <w:szCs w:val="20"/>
        </w:rPr>
        <w:t>vaccins</w:t>
      </w:r>
      <w:r w:rsidRPr="004E038A">
        <w:rPr>
          <w:rFonts w:ascii="Arial" w:hAnsi="Arial" w:cs="Arial"/>
          <w:color w:val="000361"/>
          <w:sz w:val="20"/>
          <w:szCs w:val="20"/>
        </w:rPr>
        <w:t xml:space="preserve"> </w:t>
      </w:r>
      <w:r>
        <w:rPr>
          <w:rFonts w:ascii="Arial" w:hAnsi="Arial" w:cs="Arial"/>
          <w:color w:val="000361"/>
          <w:sz w:val="20"/>
          <w:szCs w:val="20"/>
        </w:rPr>
        <w:t xml:space="preserve">complementat amb eines de </w:t>
      </w:r>
      <w:r w:rsidR="006E5C3E" w:rsidRPr="004E038A">
        <w:rPr>
          <w:rFonts w:ascii="Arial" w:hAnsi="Arial" w:cs="Arial"/>
          <w:color w:val="000361"/>
          <w:sz w:val="20"/>
          <w:szCs w:val="20"/>
        </w:rPr>
        <w:t>diagnosi</w:t>
      </w:r>
      <w:r>
        <w:rPr>
          <w:rFonts w:ascii="Arial" w:hAnsi="Arial" w:cs="Arial"/>
          <w:color w:val="000361"/>
          <w:sz w:val="20"/>
          <w:szCs w:val="20"/>
        </w:rPr>
        <w:t xml:space="preserve"> i altres serveis relacionats</w:t>
      </w:r>
      <w:r w:rsidRPr="004E038A">
        <w:rPr>
          <w:rFonts w:ascii="Arial" w:hAnsi="Arial" w:cs="Arial"/>
          <w:color w:val="000361"/>
          <w:sz w:val="20"/>
          <w:szCs w:val="20"/>
        </w:rPr>
        <w:t>.</w:t>
      </w:r>
    </w:p>
    <w:p w:rsidR="009E4683" w:rsidRPr="004E038A" w:rsidRDefault="009E4683" w:rsidP="00A01550">
      <w:pPr>
        <w:jc w:val="both"/>
        <w:rPr>
          <w:rFonts w:ascii="Arial" w:hAnsi="Arial" w:cs="Arial"/>
          <w:b/>
          <w:color w:val="000361"/>
          <w:sz w:val="20"/>
          <w:szCs w:val="20"/>
        </w:rPr>
      </w:pPr>
    </w:p>
    <w:p w:rsidR="00CF70AD" w:rsidRDefault="00CF70AD" w:rsidP="00A01550">
      <w:pPr>
        <w:jc w:val="both"/>
        <w:rPr>
          <w:rFonts w:ascii="Arial" w:hAnsi="Arial" w:cs="Arial"/>
          <w:color w:val="000361"/>
          <w:sz w:val="20"/>
          <w:szCs w:val="20"/>
        </w:rPr>
      </w:pPr>
      <w:r>
        <w:rPr>
          <w:rFonts w:ascii="Arial" w:hAnsi="Arial" w:cs="Arial"/>
          <w:color w:val="000361"/>
          <w:sz w:val="20"/>
          <w:szCs w:val="20"/>
        </w:rPr>
        <w:t>Les empreses competidores que seran analitzades</w:t>
      </w:r>
      <w:r w:rsidR="00BF142B">
        <w:rPr>
          <w:rFonts w:ascii="Arial" w:hAnsi="Arial" w:cs="Arial"/>
          <w:color w:val="000361"/>
          <w:sz w:val="20"/>
          <w:szCs w:val="20"/>
        </w:rPr>
        <w:t>, Zoetis (líder del sector),Neogen, Idexx, Phibro Animal Health i Virbac</w:t>
      </w:r>
      <w:r>
        <w:rPr>
          <w:rFonts w:ascii="Arial" w:hAnsi="Arial" w:cs="Arial"/>
          <w:color w:val="000361"/>
          <w:sz w:val="20"/>
          <w:szCs w:val="20"/>
        </w:rPr>
        <w:t xml:space="preserve"> s’han </w:t>
      </w:r>
      <w:r w:rsidR="00BF142B">
        <w:rPr>
          <w:rFonts w:ascii="Arial" w:hAnsi="Arial" w:cs="Arial"/>
          <w:color w:val="000361"/>
          <w:sz w:val="20"/>
          <w:szCs w:val="20"/>
        </w:rPr>
        <w:t>escollit a</w:t>
      </w:r>
      <w:r>
        <w:rPr>
          <w:rFonts w:ascii="Arial" w:hAnsi="Arial" w:cs="Arial"/>
          <w:color w:val="000361"/>
          <w:sz w:val="20"/>
          <w:szCs w:val="20"/>
        </w:rPr>
        <w:t xml:space="preserve"> partir del </w:t>
      </w:r>
      <w:r w:rsidRPr="00CF70AD">
        <w:rPr>
          <w:rFonts w:ascii="Arial" w:hAnsi="Arial" w:cs="Arial"/>
          <w:i/>
          <w:color w:val="000361"/>
          <w:sz w:val="20"/>
          <w:szCs w:val="20"/>
        </w:rPr>
        <w:t>“Ránking de las 20 principales empresas de salud animal durante el 2019”</w:t>
      </w:r>
      <w:r>
        <w:rPr>
          <w:rStyle w:val="Refdenotaalpie"/>
          <w:rFonts w:ascii="Arial" w:hAnsi="Arial" w:cs="Arial"/>
          <w:color w:val="000361"/>
          <w:sz w:val="20"/>
          <w:szCs w:val="20"/>
        </w:rPr>
        <w:footnoteReference w:id="1"/>
      </w:r>
      <w:r>
        <w:rPr>
          <w:rFonts w:ascii="Arial" w:hAnsi="Arial" w:cs="Arial"/>
          <w:color w:val="000361"/>
          <w:sz w:val="20"/>
          <w:szCs w:val="20"/>
        </w:rPr>
        <w:t xml:space="preserve"> . </w:t>
      </w:r>
      <w:r w:rsidR="00243D42">
        <w:rPr>
          <w:rFonts w:ascii="Arial" w:hAnsi="Arial" w:cs="Arial"/>
          <w:color w:val="000361"/>
          <w:sz w:val="20"/>
          <w:szCs w:val="20"/>
        </w:rPr>
        <w:t>Laboratoris H</w:t>
      </w:r>
      <w:r w:rsidR="00D51D8D">
        <w:rPr>
          <w:rFonts w:ascii="Arial" w:hAnsi="Arial" w:cs="Arial"/>
          <w:color w:val="000361"/>
          <w:sz w:val="20"/>
          <w:szCs w:val="20"/>
        </w:rPr>
        <w:t>ipra</w:t>
      </w:r>
      <w:r w:rsidR="00243D42">
        <w:rPr>
          <w:rFonts w:ascii="Arial" w:hAnsi="Arial" w:cs="Arial"/>
          <w:color w:val="000361"/>
          <w:sz w:val="20"/>
          <w:szCs w:val="20"/>
        </w:rPr>
        <w:t xml:space="preserve"> ocupa la 15ª posició</w:t>
      </w:r>
      <w:r w:rsidR="00BF142B">
        <w:rPr>
          <w:rFonts w:ascii="Arial" w:hAnsi="Arial" w:cs="Arial"/>
          <w:color w:val="000361"/>
          <w:sz w:val="20"/>
          <w:szCs w:val="20"/>
        </w:rPr>
        <w:t xml:space="preserve"> d’aquest llistat</w:t>
      </w:r>
      <w:r w:rsidR="00243D42">
        <w:rPr>
          <w:rFonts w:ascii="Arial" w:hAnsi="Arial" w:cs="Arial"/>
          <w:color w:val="000361"/>
          <w:sz w:val="20"/>
          <w:szCs w:val="20"/>
        </w:rPr>
        <w:t xml:space="preserve">. </w:t>
      </w:r>
      <w:r w:rsidR="00BF142B">
        <w:rPr>
          <w:rFonts w:ascii="Arial" w:hAnsi="Arial" w:cs="Arial"/>
          <w:color w:val="000361"/>
          <w:sz w:val="20"/>
          <w:szCs w:val="20"/>
        </w:rPr>
        <w:t>Les</w:t>
      </w:r>
      <w:r w:rsidR="00243D42">
        <w:rPr>
          <w:rFonts w:ascii="Arial" w:hAnsi="Arial" w:cs="Arial"/>
          <w:color w:val="000361"/>
          <w:sz w:val="20"/>
          <w:szCs w:val="20"/>
        </w:rPr>
        <w:t xml:space="preserve"> empreses competidores</w:t>
      </w:r>
      <w:r w:rsidR="00BF142B">
        <w:rPr>
          <w:rFonts w:ascii="Arial" w:hAnsi="Arial" w:cs="Arial"/>
          <w:color w:val="000361"/>
          <w:sz w:val="20"/>
          <w:szCs w:val="20"/>
        </w:rPr>
        <w:t xml:space="preserve"> objectes d’estudi</w:t>
      </w:r>
      <w:r w:rsidR="00243D42">
        <w:rPr>
          <w:rFonts w:ascii="Arial" w:hAnsi="Arial" w:cs="Arial"/>
          <w:color w:val="000361"/>
          <w:sz w:val="20"/>
          <w:szCs w:val="20"/>
        </w:rPr>
        <w:t xml:space="preserve"> tenen en comú que cotitzen a borsa i això ha facilitat l’accés als seus compte</w:t>
      </w:r>
      <w:r w:rsidR="00BF142B">
        <w:rPr>
          <w:rFonts w:ascii="Arial" w:hAnsi="Arial" w:cs="Arial"/>
          <w:color w:val="000361"/>
          <w:sz w:val="20"/>
          <w:szCs w:val="20"/>
        </w:rPr>
        <w:t>s</w:t>
      </w:r>
      <w:r w:rsidR="00243D42">
        <w:rPr>
          <w:rFonts w:ascii="Arial" w:hAnsi="Arial" w:cs="Arial"/>
          <w:color w:val="000361"/>
          <w:sz w:val="20"/>
          <w:szCs w:val="20"/>
        </w:rPr>
        <w:t xml:space="preserve"> anuals donat que els fan accessibles per inversors. Per fer la comparació sectorial es determinarà amb una ponderació mitjana entre les 6 empreses (Hipra i les 5 competidores).</w:t>
      </w:r>
    </w:p>
    <w:p w:rsidR="00CF70AD" w:rsidRPr="004E038A" w:rsidRDefault="00CF70AD" w:rsidP="00A01550">
      <w:pPr>
        <w:jc w:val="both"/>
        <w:rPr>
          <w:rFonts w:ascii="Arial" w:hAnsi="Arial" w:cs="Arial"/>
          <w:color w:val="000361"/>
          <w:sz w:val="20"/>
          <w:szCs w:val="20"/>
        </w:rPr>
      </w:pPr>
    </w:p>
    <w:p w:rsidR="006E1155" w:rsidRPr="004E038A" w:rsidRDefault="006E1155" w:rsidP="006E1155">
      <w:pPr>
        <w:jc w:val="both"/>
        <w:rPr>
          <w:rFonts w:ascii="Arial" w:hAnsi="Arial" w:cs="Arial"/>
          <w:b/>
          <w:color w:val="000361"/>
        </w:rPr>
      </w:pPr>
      <w:r w:rsidRPr="004E038A">
        <w:rPr>
          <w:rFonts w:ascii="Arial" w:hAnsi="Arial" w:cs="Arial"/>
          <w:b/>
          <w:color w:val="000361"/>
        </w:rPr>
        <w:t>Justificació</w:t>
      </w:r>
    </w:p>
    <w:p w:rsidR="006E1155" w:rsidRPr="004E038A" w:rsidRDefault="006E1155" w:rsidP="00A01550">
      <w:pPr>
        <w:jc w:val="both"/>
        <w:rPr>
          <w:rFonts w:ascii="Arial" w:hAnsi="Arial" w:cs="Arial"/>
          <w:color w:val="000361"/>
          <w:sz w:val="20"/>
          <w:szCs w:val="20"/>
        </w:rPr>
      </w:pPr>
    </w:p>
    <w:p w:rsidR="00A01550" w:rsidRPr="004E038A" w:rsidRDefault="00A01550" w:rsidP="00A01550">
      <w:pPr>
        <w:jc w:val="both"/>
        <w:rPr>
          <w:rFonts w:ascii="Arial" w:hAnsi="Arial" w:cs="Arial"/>
          <w:color w:val="000361"/>
          <w:sz w:val="20"/>
          <w:szCs w:val="20"/>
        </w:rPr>
      </w:pPr>
      <w:r w:rsidRPr="004E038A">
        <w:rPr>
          <w:rFonts w:ascii="Arial" w:hAnsi="Arial" w:cs="Arial"/>
          <w:color w:val="000361"/>
          <w:sz w:val="20"/>
          <w:szCs w:val="20"/>
        </w:rPr>
        <w:t xml:space="preserve">A nivell personal, m’interessen les notícies econòmiques del territori on visc, el gironí, i específicament aquelles referents al sector farmacèutic perquè fa més de 20 anys que m´hi dedico professionalment. He seguit atentament els </w:t>
      </w:r>
      <w:r w:rsidR="0036789D">
        <w:rPr>
          <w:rFonts w:ascii="Arial" w:hAnsi="Arial" w:cs="Arial"/>
          <w:color w:val="000361"/>
          <w:sz w:val="20"/>
          <w:szCs w:val="20"/>
        </w:rPr>
        <w:t>“</w:t>
      </w:r>
      <w:r w:rsidRPr="004E038A">
        <w:rPr>
          <w:rFonts w:ascii="Arial" w:hAnsi="Arial" w:cs="Arial"/>
          <w:color w:val="000361"/>
          <w:sz w:val="20"/>
          <w:szCs w:val="20"/>
        </w:rPr>
        <w:t>inputs</w:t>
      </w:r>
      <w:r w:rsidR="0036789D">
        <w:rPr>
          <w:rFonts w:ascii="Arial" w:hAnsi="Arial" w:cs="Arial"/>
          <w:color w:val="000361"/>
          <w:sz w:val="20"/>
          <w:szCs w:val="20"/>
        </w:rPr>
        <w:t>”</w:t>
      </w:r>
      <w:r w:rsidRPr="004E038A">
        <w:rPr>
          <w:rFonts w:ascii="Arial" w:hAnsi="Arial" w:cs="Arial"/>
          <w:color w:val="000361"/>
          <w:sz w:val="20"/>
          <w:szCs w:val="20"/>
        </w:rPr>
        <w:t xml:space="preserve"> relacionats amb els Laboratoris H</w:t>
      </w:r>
      <w:r w:rsidR="00D51D8D">
        <w:rPr>
          <w:rFonts w:ascii="Arial" w:hAnsi="Arial" w:cs="Arial"/>
          <w:color w:val="000361"/>
          <w:sz w:val="20"/>
          <w:szCs w:val="20"/>
        </w:rPr>
        <w:t>ipra</w:t>
      </w:r>
      <w:r w:rsidR="006F7E2D">
        <w:rPr>
          <w:rFonts w:ascii="Arial" w:hAnsi="Arial" w:cs="Arial"/>
          <w:color w:val="000361"/>
          <w:sz w:val="20"/>
          <w:szCs w:val="20"/>
        </w:rPr>
        <w:t xml:space="preserve">: </w:t>
      </w:r>
      <w:r w:rsidRPr="004E038A">
        <w:rPr>
          <w:rFonts w:ascii="Arial" w:hAnsi="Arial" w:cs="Arial"/>
          <w:color w:val="000361"/>
          <w:sz w:val="20"/>
          <w:szCs w:val="20"/>
        </w:rPr>
        <w:t>els últims anys han ampliat en diverses ocasions la seva planta d’Amer, han obert un espai d’investigació al Parc Tecnològic de Girona, i actualment estan adequant una gran extensió de terrenys a Aiguaviva perquè esdevinguin magatzems logístics. A més, és una empresa que genera molts nous llocs de treball, com es pot comprovar a les borses de treball on permanentment estan cercant talent per incorporar.</w:t>
      </w:r>
    </w:p>
    <w:p w:rsidR="00A01550" w:rsidRPr="004E038A" w:rsidRDefault="00A01550" w:rsidP="00A01550">
      <w:pPr>
        <w:jc w:val="both"/>
        <w:rPr>
          <w:rFonts w:ascii="Arial" w:hAnsi="Arial" w:cs="Arial"/>
          <w:color w:val="000361"/>
          <w:sz w:val="20"/>
          <w:szCs w:val="20"/>
        </w:rPr>
      </w:pPr>
    </w:p>
    <w:p w:rsidR="00A01550" w:rsidRPr="004E038A" w:rsidRDefault="00A01550" w:rsidP="00A01550">
      <w:pPr>
        <w:jc w:val="both"/>
        <w:rPr>
          <w:rFonts w:ascii="Arial" w:hAnsi="Arial" w:cs="Arial"/>
          <w:color w:val="000361"/>
          <w:sz w:val="20"/>
          <w:szCs w:val="20"/>
        </w:rPr>
      </w:pPr>
      <w:r w:rsidRPr="004E038A">
        <w:rPr>
          <w:rFonts w:ascii="Arial" w:hAnsi="Arial" w:cs="Arial"/>
          <w:color w:val="000361"/>
          <w:sz w:val="20"/>
          <w:szCs w:val="20"/>
        </w:rPr>
        <w:t>Un altre aspecte rellevant en la decisió d’aquest projecte és que atenent a la situació de pandèmia que ens trobem immersos, Laboratoris H</w:t>
      </w:r>
      <w:r w:rsidR="00D51D8D">
        <w:rPr>
          <w:rFonts w:ascii="Arial" w:hAnsi="Arial" w:cs="Arial"/>
          <w:color w:val="000361"/>
          <w:sz w:val="20"/>
          <w:szCs w:val="20"/>
        </w:rPr>
        <w:t>ipra</w:t>
      </w:r>
      <w:r w:rsidRPr="004E038A">
        <w:rPr>
          <w:rFonts w:ascii="Arial" w:hAnsi="Arial" w:cs="Arial"/>
          <w:color w:val="000361"/>
          <w:sz w:val="20"/>
          <w:szCs w:val="20"/>
        </w:rPr>
        <w:t xml:space="preserve"> ha sortit novament als mitjans pel seu compromís i responsabilitat ètic</w:t>
      </w:r>
      <w:r w:rsidR="00BF142B">
        <w:rPr>
          <w:rFonts w:ascii="Arial" w:hAnsi="Arial" w:cs="Arial"/>
          <w:color w:val="000361"/>
          <w:sz w:val="20"/>
          <w:szCs w:val="20"/>
        </w:rPr>
        <w:t>a</w:t>
      </w:r>
      <w:r w:rsidRPr="004E038A">
        <w:rPr>
          <w:rFonts w:ascii="Arial" w:hAnsi="Arial" w:cs="Arial"/>
          <w:color w:val="000361"/>
          <w:sz w:val="20"/>
          <w:szCs w:val="20"/>
        </w:rPr>
        <w:t xml:space="preserve"> i social, posant els seus </w:t>
      </w:r>
      <w:r w:rsidR="00BF142B">
        <w:rPr>
          <w:rFonts w:ascii="Arial" w:hAnsi="Arial" w:cs="Arial"/>
          <w:color w:val="000361"/>
          <w:sz w:val="20"/>
          <w:szCs w:val="20"/>
        </w:rPr>
        <w:t>mitjans</w:t>
      </w:r>
      <w:r w:rsidR="006E1155" w:rsidRPr="004E038A">
        <w:rPr>
          <w:rFonts w:ascii="Arial" w:hAnsi="Arial" w:cs="Arial"/>
          <w:color w:val="000361"/>
          <w:sz w:val="20"/>
          <w:szCs w:val="20"/>
        </w:rPr>
        <w:t xml:space="preserve"> </w:t>
      </w:r>
      <w:r w:rsidRPr="004E038A">
        <w:rPr>
          <w:rFonts w:ascii="Arial" w:hAnsi="Arial" w:cs="Arial"/>
          <w:color w:val="000361"/>
          <w:sz w:val="20"/>
          <w:szCs w:val="20"/>
        </w:rPr>
        <w:t>a disposició d’Institucions Públiques</w:t>
      </w:r>
      <w:r w:rsidR="00BF142B">
        <w:rPr>
          <w:rFonts w:ascii="Arial" w:hAnsi="Arial" w:cs="Arial"/>
          <w:color w:val="000361"/>
          <w:sz w:val="20"/>
          <w:szCs w:val="20"/>
        </w:rPr>
        <w:t>,</w:t>
      </w:r>
      <w:r w:rsidRPr="004E038A">
        <w:rPr>
          <w:rFonts w:ascii="Arial" w:hAnsi="Arial" w:cs="Arial"/>
          <w:color w:val="000361"/>
          <w:sz w:val="20"/>
          <w:szCs w:val="20"/>
        </w:rPr>
        <w:t xml:space="preserve"> </w:t>
      </w:r>
      <w:r w:rsidR="006E1155" w:rsidRPr="004E038A">
        <w:rPr>
          <w:rFonts w:ascii="Arial" w:hAnsi="Arial" w:cs="Arial"/>
          <w:color w:val="000361"/>
          <w:sz w:val="20"/>
          <w:szCs w:val="20"/>
        </w:rPr>
        <w:t>fabricant components pels respiradors artificials que han mancat als hospitals</w:t>
      </w:r>
      <w:r w:rsidR="00BF142B">
        <w:rPr>
          <w:rFonts w:ascii="Arial" w:hAnsi="Arial" w:cs="Arial"/>
          <w:color w:val="000361"/>
          <w:sz w:val="20"/>
          <w:szCs w:val="20"/>
        </w:rPr>
        <w:t>,</w:t>
      </w:r>
      <w:r w:rsidR="006E1155" w:rsidRPr="004E038A">
        <w:rPr>
          <w:rFonts w:ascii="Arial" w:hAnsi="Arial" w:cs="Arial"/>
          <w:color w:val="000361"/>
          <w:sz w:val="20"/>
          <w:szCs w:val="20"/>
        </w:rPr>
        <w:t xml:space="preserve"> i</w:t>
      </w:r>
      <w:r w:rsidRPr="004E038A">
        <w:rPr>
          <w:rFonts w:ascii="Arial" w:hAnsi="Arial" w:cs="Arial"/>
          <w:color w:val="000361"/>
          <w:sz w:val="20"/>
          <w:szCs w:val="20"/>
        </w:rPr>
        <w:t xml:space="preserve"> </w:t>
      </w:r>
      <w:r w:rsidR="006E1155" w:rsidRPr="004E038A">
        <w:rPr>
          <w:rFonts w:ascii="Arial" w:hAnsi="Arial" w:cs="Arial"/>
          <w:color w:val="000361"/>
          <w:sz w:val="20"/>
          <w:szCs w:val="20"/>
        </w:rPr>
        <w:t>analitzant</w:t>
      </w:r>
      <w:r w:rsidRPr="004E038A">
        <w:rPr>
          <w:rFonts w:ascii="Arial" w:hAnsi="Arial" w:cs="Arial"/>
          <w:color w:val="000361"/>
          <w:sz w:val="20"/>
          <w:szCs w:val="20"/>
        </w:rPr>
        <w:t xml:space="preserve">  mostres i detecció del virus del COVID-19</w:t>
      </w:r>
      <w:r w:rsidR="00BF142B">
        <w:rPr>
          <w:rFonts w:ascii="Arial" w:hAnsi="Arial" w:cs="Arial"/>
          <w:color w:val="000361"/>
          <w:sz w:val="20"/>
          <w:szCs w:val="20"/>
        </w:rPr>
        <w:t>.</w:t>
      </w:r>
      <w:r w:rsidRPr="004E038A">
        <w:rPr>
          <w:rFonts w:ascii="Arial" w:hAnsi="Arial" w:cs="Arial"/>
          <w:color w:val="000361"/>
          <w:sz w:val="20"/>
          <w:szCs w:val="20"/>
        </w:rPr>
        <w:t xml:space="preserve"> </w:t>
      </w:r>
      <w:r w:rsidR="00BF142B">
        <w:rPr>
          <w:rFonts w:ascii="Arial" w:hAnsi="Arial" w:cs="Arial"/>
          <w:color w:val="000361"/>
          <w:sz w:val="20"/>
          <w:szCs w:val="20"/>
        </w:rPr>
        <w:t>A</w:t>
      </w:r>
      <w:r w:rsidRPr="004E038A">
        <w:rPr>
          <w:rFonts w:ascii="Arial" w:hAnsi="Arial" w:cs="Arial"/>
          <w:color w:val="000361"/>
          <w:sz w:val="20"/>
          <w:szCs w:val="20"/>
        </w:rPr>
        <w:t>lhora ha engegat una investigació científica per elaborar-ne vac</w:t>
      </w:r>
      <w:r w:rsidR="001A1E54">
        <w:rPr>
          <w:rFonts w:ascii="Arial" w:hAnsi="Arial" w:cs="Arial"/>
          <w:color w:val="000361"/>
          <w:sz w:val="20"/>
          <w:szCs w:val="20"/>
        </w:rPr>
        <w:t>cins</w:t>
      </w:r>
      <w:r w:rsidR="00BF142B">
        <w:rPr>
          <w:rFonts w:ascii="Arial" w:hAnsi="Arial" w:cs="Arial"/>
          <w:color w:val="000361"/>
          <w:sz w:val="20"/>
          <w:szCs w:val="20"/>
        </w:rPr>
        <w:t xml:space="preserve"> i</w:t>
      </w:r>
      <w:r w:rsidRPr="004E038A">
        <w:rPr>
          <w:rFonts w:ascii="Arial" w:hAnsi="Arial" w:cs="Arial"/>
          <w:color w:val="000361"/>
          <w:sz w:val="20"/>
          <w:szCs w:val="20"/>
        </w:rPr>
        <w:t xml:space="preserve"> </w:t>
      </w:r>
      <w:r w:rsidR="00BF142B">
        <w:rPr>
          <w:rFonts w:ascii="Arial" w:hAnsi="Arial" w:cs="Arial"/>
          <w:color w:val="000361"/>
          <w:sz w:val="20"/>
          <w:szCs w:val="20"/>
        </w:rPr>
        <w:t>s</w:t>
      </w:r>
      <w:r w:rsidRPr="004E038A">
        <w:rPr>
          <w:rFonts w:ascii="Arial" w:hAnsi="Arial" w:cs="Arial"/>
          <w:color w:val="000361"/>
          <w:sz w:val="20"/>
          <w:szCs w:val="20"/>
        </w:rPr>
        <w:t>i es donés el cas</w:t>
      </w:r>
      <w:r w:rsidR="00BF142B">
        <w:rPr>
          <w:rFonts w:ascii="Arial" w:hAnsi="Arial" w:cs="Arial"/>
          <w:color w:val="000361"/>
          <w:sz w:val="20"/>
          <w:szCs w:val="20"/>
        </w:rPr>
        <w:t>,</w:t>
      </w:r>
      <w:r w:rsidRPr="004E038A">
        <w:rPr>
          <w:rFonts w:ascii="Arial" w:hAnsi="Arial" w:cs="Arial"/>
          <w:color w:val="000361"/>
          <w:sz w:val="20"/>
          <w:szCs w:val="20"/>
        </w:rPr>
        <w:t xml:space="preserve"> seria la primera vegada que l’empresa fabrica </w:t>
      </w:r>
      <w:r w:rsidR="001A1E54">
        <w:rPr>
          <w:rFonts w:ascii="Arial" w:hAnsi="Arial" w:cs="Arial"/>
          <w:color w:val="000361"/>
          <w:sz w:val="20"/>
          <w:szCs w:val="20"/>
        </w:rPr>
        <w:t>vaccins</w:t>
      </w:r>
      <w:r w:rsidRPr="004E038A">
        <w:rPr>
          <w:rFonts w:ascii="Arial" w:hAnsi="Arial" w:cs="Arial"/>
          <w:color w:val="000361"/>
          <w:sz w:val="20"/>
          <w:szCs w:val="20"/>
        </w:rPr>
        <w:t xml:space="preserve"> per humans.</w:t>
      </w:r>
    </w:p>
    <w:p w:rsidR="00A01550" w:rsidRPr="004E038A" w:rsidRDefault="00A01550" w:rsidP="00A01550">
      <w:pPr>
        <w:jc w:val="both"/>
        <w:rPr>
          <w:rFonts w:ascii="Arial" w:hAnsi="Arial" w:cs="Arial"/>
          <w:color w:val="000361"/>
          <w:sz w:val="20"/>
          <w:szCs w:val="20"/>
        </w:rPr>
      </w:pPr>
    </w:p>
    <w:p w:rsidR="00A01550" w:rsidRPr="00E2763D" w:rsidRDefault="00A01550" w:rsidP="00A01550">
      <w:pPr>
        <w:jc w:val="both"/>
        <w:rPr>
          <w:rFonts w:ascii="Arial" w:hAnsi="Arial" w:cs="Arial"/>
          <w:color w:val="000361"/>
          <w:sz w:val="20"/>
          <w:szCs w:val="20"/>
        </w:rPr>
      </w:pPr>
      <w:r w:rsidRPr="004E038A">
        <w:rPr>
          <w:rFonts w:ascii="Arial" w:hAnsi="Arial" w:cs="Arial"/>
          <w:color w:val="000361"/>
          <w:sz w:val="20"/>
          <w:szCs w:val="20"/>
        </w:rPr>
        <w:t>Donat els orígens de Laboratoris H</w:t>
      </w:r>
      <w:r w:rsidR="00D51D8D">
        <w:rPr>
          <w:rFonts w:ascii="Arial" w:hAnsi="Arial" w:cs="Arial"/>
          <w:color w:val="000361"/>
          <w:sz w:val="20"/>
          <w:szCs w:val="20"/>
        </w:rPr>
        <w:t>ipra</w:t>
      </w:r>
      <w:r w:rsidRPr="004E038A">
        <w:rPr>
          <w:rFonts w:ascii="Arial" w:hAnsi="Arial" w:cs="Arial"/>
          <w:color w:val="000361"/>
          <w:sz w:val="20"/>
          <w:szCs w:val="20"/>
        </w:rPr>
        <w:t xml:space="preserve"> (empresa familiar), la seva mida i les característiques del sector</w:t>
      </w:r>
      <w:r w:rsidR="006F7E2D">
        <w:rPr>
          <w:rFonts w:ascii="Arial" w:hAnsi="Arial" w:cs="Arial"/>
          <w:color w:val="000361"/>
          <w:sz w:val="20"/>
          <w:szCs w:val="20"/>
        </w:rPr>
        <w:t xml:space="preserve"> on desenvolupa la seva activitat</w:t>
      </w:r>
      <w:r w:rsidRPr="004E038A">
        <w:rPr>
          <w:rFonts w:ascii="Arial" w:hAnsi="Arial" w:cs="Arial"/>
          <w:color w:val="000361"/>
          <w:sz w:val="20"/>
          <w:szCs w:val="20"/>
        </w:rPr>
        <w:t xml:space="preserve">, podem considerar un èxit que l’empresa es trobi entre els referents mundials en prevenció de </w:t>
      </w:r>
      <w:r w:rsidR="006F7E2D">
        <w:rPr>
          <w:rFonts w:ascii="Arial" w:hAnsi="Arial" w:cs="Arial"/>
          <w:color w:val="000361"/>
          <w:sz w:val="20"/>
          <w:szCs w:val="20"/>
        </w:rPr>
        <w:t>Sa</w:t>
      </w:r>
      <w:r w:rsidRPr="004E038A">
        <w:rPr>
          <w:rFonts w:ascii="Arial" w:hAnsi="Arial" w:cs="Arial"/>
          <w:color w:val="000361"/>
          <w:sz w:val="20"/>
          <w:szCs w:val="20"/>
        </w:rPr>
        <w:t xml:space="preserve">lut </w:t>
      </w:r>
      <w:r w:rsidR="006F7E2D">
        <w:rPr>
          <w:rFonts w:ascii="Arial" w:hAnsi="Arial" w:cs="Arial"/>
          <w:color w:val="000361"/>
          <w:sz w:val="20"/>
          <w:szCs w:val="20"/>
        </w:rPr>
        <w:t>A</w:t>
      </w:r>
      <w:r w:rsidRPr="004E038A">
        <w:rPr>
          <w:rFonts w:ascii="Arial" w:hAnsi="Arial" w:cs="Arial"/>
          <w:color w:val="000361"/>
          <w:sz w:val="20"/>
          <w:szCs w:val="20"/>
        </w:rPr>
        <w:t>nimal. Amb aquest treball es vol argumentar i donar resposta a la següent pregunta:</w:t>
      </w:r>
      <w:r w:rsidR="00E2763D">
        <w:rPr>
          <w:rFonts w:ascii="Arial" w:hAnsi="Arial" w:cs="Arial"/>
          <w:b/>
          <w:color w:val="000361"/>
          <w:sz w:val="20"/>
          <w:szCs w:val="20"/>
        </w:rPr>
        <w:t xml:space="preserve"> Quina estratègia ha seguit H</w:t>
      </w:r>
      <w:r w:rsidR="00D51D8D">
        <w:rPr>
          <w:rFonts w:ascii="Arial" w:hAnsi="Arial" w:cs="Arial"/>
          <w:b/>
          <w:color w:val="000361"/>
          <w:sz w:val="20"/>
          <w:szCs w:val="20"/>
        </w:rPr>
        <w:t>ipra</w:t>
      </w:r>
      <w:r w:rsidR="00E2763D">
        <w:rPr>
          <w:rFonts w:ascii="Arial" w:hAnsi="Arial" w:cs="Arial"/>
          <w:b/>
          <w:color w:val="000361"/>
          <w:sz w:val="20"/>
          <w:szCs w:val="20"/>
        </w:rPr>
        <w:t xml:space="preserve"> per esdevenir una empresa rellevant en el seu sector?</w:t>
      </w:r>
      <w:r w:rsidRPr="004E038A">
        <w:rPr>
          <w:rFonts w:ascii="Arial" w:hAnsi="Arial" w:cs="Arial"/>
          <w:b/>
          <w:color w:val="000361"/>
          <w:sz w:val="20"/>
          <w:szCs w:val="20"/>
        </w:rPr>
        <w:t xml:space="preserve"> Quins són els factors determinants del </w:t>
      </w:r>
      <w:r w:rsidR="00E2763D">
        <w:rPr>
          <w:rFonts w:ascii="Arial" w:hAnsi="Arial" w:cs="Arial"/>
          <w:b/>
          <w:color w:val="000361"/>
          <w:sz w:val="20"/>
          <w:szCs w:val="20"/>
        </w:rPr>
        <w:t xml:space="preserve">seu </w:t>
      </w:r>
      <w:r w:rsidRPr="004E038A">
        <w:rPr>
          <w:rFonts w:ascii="Arial" w:hAnsi="Arial" w:cs="Arial"/>
          <w:b/>
          <w:color w:val="000361"/>
          <w:sz w:val="20"/>
          <w:szCs w:val="20"/>
        </w:rPr>
        <w:t>creixement</w:t>
      </w:r>
      <w:r w:rsidR="00E2763D">
        <w:rPr>
          <w:rFonts w:ascii="Arial" w:hAnsi="Arial" w:cs="Arial"/>
          <w:b/>
          <w:color w:val="000361"/>
          <w:sz w:val="20"/>
          <w:szCs w:val="20"/>
        </w:rPr>
        <w:t>?</w:t>
      </w:r>
    </w:p>
    <w:p w:rsidR="00E10060" w:rsidRPr="004E038A" w:rsidRDefault="00E10060" w:rsidP="005B4F30">
      <w:pPr>
        <w:jc w:val="both"/>
        <w:rPr>
          <w:color w:val="000361"/>
        </w:rPr>
      </w:pPr>
    </w:p>
    <w:p w:rsidR="00621A1F" w:rsidRDefault="00621A1F" w:rsidP="005B4F30">
      <w:pPr>
        <w:jc w:val="both"/>
        <w:rPr>
          <w:rFonts w:ascii="Arial" w:hAnsi="Arial" w:cs="Arial"/>
          <w:b/>
          <w:color w:val="000361"/>
        </w:rPr>
      </w:pPr>
      <w:r>
        <w:rPr>
          <w:rFonts w:ascii="Arial" w:hAnsi="Arial" w:cs="Arial"/>
          <w:b/>
          <w:color w:val="000361"/>
        </w:rPr>
        <w:br w:type="page"/>
      </w:r>
    </w:p>
    <w:p w:rsidR="00A01550" w:rsidRPr="004E038A" w:rsidRDefault="0015309C" w:rsidP="005B4F30">
      <w:pPr>
        <w:jc w:val="both"/>
        <w:rPr>
          <w:rFonts w:ascii="Arial" w:hAnsi="Arial" w:cs="Arial"/>
          <w:b/>
          <w:color w:val="000361"/>
        </w:rPr>
      </w:pPr>
      <w:r w:rsidRPr="004E038A">
        <w:rPr>
          <w:rFonts w:ascii="Arial" w:hAnsi="Arial" w:cs="Arial"/>
          <w:b/>
          <w:color w:val="000361"/>
        </w:rPr>
        <w:lastRenderedPageBreak/>
        <w:t xml:space="preserve">Objectiu </w:t>
      </w:r>
      <w:r w:rsidR="00FF513B" w:rsidRPr="004E038A">
        <w:rPr>
          <w:rFonts w:ascii="Arial" w:hAnsi="Arial" w:cs="Arial"/>
          <w:b/>
          <w:color w:val="000361"/>
        </w:rPr>
        <w:t xml:space="preserve">i abast </w:t>
      </w:r>
      <w:r w:rsidRPr="004E038A">
        <w:rPr>
          <w:rFonts w:ascii="Arial" w:hAnsi="Arial" w:cs="Arial"/>
          <w:b/>
          <w:color w:val="000361"/>
        </w:rPr>
        <w:t>de l’informe</w:t>
      </w:r>
    </w:p>
    <w:p w:rsidR="0015309C" w:rsidRPr="004E038A" w:rsidRDefault="0015309C" w:rsidP="005B4F30">
      <w:pPr>
        <w:jc w:val="both"/>
        <w:rPr>
          <w:rFonts w:ascii="Arial" w:hAnsi="Arial" w:cs="Arial"/>
          <w:b/>
          <w:color w:val="000361"/>
        </w:rPr>
      </w:pPr>
    </w:p>
    <w:p w:rsidR="0015309C" w:rsidRPr="004E038A" w:rsidRDefault="0015309C" w:rsidP="005B4F30">
      <w:pPr>
        <w:jc w:val="both"/>
        <w:rPr>
          <w:rFonts w:ascii="Arial" w:hAnsi="Arial" w:cs="Arial"/>
          <w:color w:val="000361"/>
          <w:sz w:val="20"/>
          <w:szCs w:val="20"/>
        </w:rPr>
      </w:pPr>
      <w:r w:rsidRPr="004E038A">
        <w:rPr>
          <w:rFonts w:ascii="Arial" w:hAnsi="Arial" w:cs="Arial"/>
          <w:color w:val="000361"/>
          <w:sz w:val="20"/>
          <w:szCs w:val="20"/>
        </w:rPr>
        <w:t>Laboratoris H</w:t>
      </w:r>
      <w:r w:rsidR="00D51D8D">
        <w:rPr>
          <w:rFonts w:ascii="Arial" w:hAnsi="Arial" w:cs="Arial"/>
          <w:color w:val="000361"/>
          <w:sz w:val="20"/>
          <w:szCs w:val="20"/>
        </w:rPr>
        <w:t>ipra</w:t>
      </w:r>
      <w:r w:rsidRPr="004E038A">
        <w:rPr>
          <w:rFonts w:ascii="Arial" w:hAnsi="Arial" w:cs="Arial"/>
          <w:color w:val="000361"/>
          <w:sz w:val="20"/>
          <w:szCs w:val="20"/>
        </w:rPr>
        <w:t xml:space="preserve"> és una empresa que està adquirint certa rellevància dins el seu segment</w:t>
      </w:r>
      <w:r w:rsidR="00CF7C53">
        <w:rPr>
          <w:rFonts w:ascii="Arial" w:hAnsi="Arial" w:cs="Arial"/>
          <w:color w:val="000361"/>
          <w:sz w:val="20"/>
          <w:szCs w:val="20"/>
        </w:rPr>
        <w:t xml:space="preserve"> amb</w:t>
      </w:r>
      <w:r w:rsidR="00C632E4">
        <w:rPr>
          <w:rFonts w:ascii="Arial" w:hAnsi="Arial" w:cs="Arial"/>
          <w:color w:val="000361"/>
          <w:sz w:val="20"/>
          <w:szCs w:val="20"/>
        </w:rPr>
        <w:t xml:space="preserve"> uns ingressos propers a 300 milions d’€ l’exercici 2019</w:t>
      </w:r>
      <w:r w:rsidRPr="004E038A">
        <w:rPr>
          <w:rFonts w:ascii="Arial" w:hAnsi="Arial" w:cs="Arial"/>
          <w:color w:val="000361"/>
          <w:sz w:val="20"/>
          <w:szCs w:val="20"/>
        </w:rPr>
        <w:t xml:space="preserve">. El seu creixement constant i sostingut durant l’última dècada ha estat un èxit. Per mitjà d’aquest estudi econòmic i financer </w:t>
      </w:r>
      <w:r w:rsidR="0038705A" w:rsidRPr="004E038A">
        <w:rPr>
          <w:rFonts w:ascii="Arial" w:hAnsi="Arial" w:cs="Arial"/>
          <w:color w:val="000361"/>
          <w:sz w:val="20"/>
          <w:szCs w:val="20"/>
        </w:rPr>
        <w:t>s’</w:t>
      </w:r>
      <w:r w:rsidRPr="004E038A">
        <w:rPr>
          <w:rFonts w:ascii="Arial" w:hAnsi="Arial" w:cs="Arial"/>
          <w:color w:val="000361"/>
          <w:sz w:val="20"/>
          <w:szCs w:val="20"/>
        </w:rPr>
        <w:t>analitzar</w:t>
      </w:r>
      <w:r w:rsidR="0038705A" w:rsidRPr="004E038A">
        <w:rPr>
          <w:rFonts w:ascii="Arial" w:hAnsi="Arial" w:cs="Arial"/>
          <w:color w:val="000361"/>
          <w:sz w:val="20"/>
          <w:szCs w:val="20"/>
        </w:rPr>
        <w:t>à</w:t>
      </w:r>
      <w:r w:rsidRPr="004E038A">
        <w:rPr>
          <w:rFonts w:ascii="Arial" w:hAnsi="Arial" w:cs="Arial"/>
          <w:color w:val="000361"/>
          <w:sz w:val="20"/>
          <w:szCs w:val="20"/>
        </w:rPr>
        <w:t xml:space="preserve"> quins són els factors clau que l’han portat </w:t>
      </w:r>
      <w:r w:rsidR="0038705A" w:rsidRPr="004E038A">
        <w:rPr>
          <w:rFonts w:ascii="Arial" w:hAnsi="Arial" w:cs="Arial"/>
          <w:color w:val="000361"/>
          <w:sz w:val="20"/>
          <w:szCs w:val="20"/>
        </w:rPr>
        <w:t>a la consecució d’aquests resultats</w:t>
      </w:r>
      <w:r w:rsidR="00C632E4">
        <w:rPr>
          <w:rFonts w:ascii="Arial" w:hAnsi="Arial" w:cs="Arial"/>
          <w:color w:val="000361"/>
          <w:sz w:val="20"/>
          <w:szCs w:val="20"/>
        </w:rPr>
        <w:t xml:space="preserve"> que seran contrastats amb </w:t>
      </w:r>
      <w:r w:rsidR="0038705A" w:rsidRPr="004E038A">
        <w:rPr>
          <w:rFonts w:ascii="Arial" w:hAnsi="Arial" w:cs="Arial"/>
          <w:color w:val="000361"/>
          <w:sz w:val="20"/>
          <w:szCs w:val="20"/>
        </w:rPr>
        <w:t xml:space="preserve">l’evolució del mercat farmacèutic en salut animal i els seus competidors. </w:t>
      </w:r>
    </w:p>
    <w:p w:rsidR="00FF513B" w:rsidRPr="004E038A" w:rsidRDefault="00FF513B" w:rsidP="005B4F30">
      <w:pPr>
        <w:jc w:val="both"/>
        <w:rPr>
          <w:rFonts w:ascii="Arial" w:hAnsi="Arial" w:cs="Arial"/>
          <w:b/>
          <w:color w:val="000361"/>
          <w:sz w:val="20"/>
          <w:szCs w:val="20"/>
        </w:rPr>
      </w:pPr>
    </w:p>
    <w:p w:rsidR="00FF513B" w:rsidRPr="004E038A" w:rsidRDefault="00FF513B" w:rsidP="005B4F30">
      <w:pPr>
        <w:jc w:val="both"/>
        <w:rPr>
          <w:rFonts w:ascii="Arial" w:hAnsi="Arial" w:cs="Arial"/>
          <w:b/>
          <w:color w:val="000361"/>
          <w:sz w:val="20"/>
          <w:szCs w:val="20"/>
        </w:rPr>
      </w:pPr>
      <w:r w:rsidRPr="004E038A">
        <w:rPr>
          <w:rFonts w:ascii="Arial" w:hAnsi="Arial" w:cs="Arial"/>
          <w:b/>
          <w:color w:val="000361"/>
          <w:sz w:val="20"/>
          <w:szCs w:val="20"/>
        </w:rPr>
        <w:t>Elements que es tindran en compte per fer l’anàlisi:</w:t>
      </w:r>
    </w:p>
    <w:p w:rsidR="00FF513B" w:rsidRPr="004E038A" w:rsidRDefault="00FF513B" w:rsidP="005B4F30">
      <w:pPr>
        <w:jc w:val="both"/>
        <w:rPr>
          <w:rFonts w:ascii="Arial" w:hAnsi="Arial" w:cs="Arial"/>
          <w:b/>
          <w:color w:val="000361"/>
          <w:sz w:val="20"/>
          <w:szCs w:val="20"/>
        </w:rPr>
      </w:pPr>
    </w:p>
    <w:p w:rsidR="00A748BF" w:rsidRPr="004E038A" w:rsidRDefault="00A748BF" w:rsidP="0040185D">
      <w:pPr>
        <w:pStyle w:val="Prrafodelista"/>
        <w:numPr>
          <w:ilvl w:val="0"/>
          <w:numId w:val="12"/>
        </w:numPr>
        <w:jc w:val="both"/>
        <w:rPr>
          <w:rFonts w:ascii="Arial" w:hAnsi="Arial" w:cs="Arial"/>
          <w:color w:val="000361"/>
          <w:sz w:val="20"/>
          <w:szCs w:val="20"/>
        </w:rPr>
      </w:pPr>
      <w:r w:rsidRPr="004E038A">
        <w:rPr>
          <w:rFonts w:ascii="Arial" w:hAnsi="Arial" w:cs="Arial"/>
          <w:color w:val="000361"/>
          <w:sz w:val="20"/>
          <w:szCs w:val="20"/>
        </w:rPr>
        <w:t>Informació qualitativa de l’empresa</w:t>
      </w:r>
      <w:r w:rsidR="000E3BB6" w:rsidRPr="004E038A">
        <w:rPr>
          <w:rFonts w:ascii="Arial" w:hAnsi="Arial" w:cs="Arial"/>
          <w:color w:val="000361"/>
          <w:sz w:val="20"/>
          <w:szCs w:val="20"/>
        </w:rPr>
        <w:t xml:space="preserve"> i l’entorn on es desenvolupa</w:t>
      </w:r>
    </w:p>
    <w:p w:rsidR="000E3BB6" w:rsidRPr="004E038A" w:rsidRDefault="000E3BB6" w:rsidP="000E3BB6">
      <w:pPr>
        <w:pStyle w:val="Prrafodelista"/>
        <w:jc w:val="both"/>
        <w:rPr>
          <w:rFonts w:ascii="Arial" w:hAnsi="Arial" w:cs="Arial"/>
          <w:color w:val="000361"/>
          <w:sz w:val="20"/>
          <w:szCs w:val="20"/>
        </w:rPr>
      </w:pPr>
    </w:p>
    <w:p w:rsidR="00FF513B" w:rsidRPr="004E038A" w:rsidRDefault="00FF513B" w:rsidP="0040185D">
      <w:pPr>
        <w:pStyle w:val="Prrafodelista"/>
        <w:numPr>
          <w:ilvl w:val="0"/>
          <w:numId w:val="12"/>
        </w:numPr>
        <w:jc w:val="both"/>
        <w:rPr>
          <w:rFonts w:ascii="Arial" w:hAnsi="Arial" w:cs="Arial"/>
          <w:color w:val="000361"/>
          <w:sz w:val="20"/>
          <w:szCs w:val="20"/>
        </w:rPr>
      </w:pPr>
      <w:r w:rsidRPr="004E038A">
        <w:rPr>
          <w:rFonts w:ascii="Arial" w:hAnsi="Arial" w:cs="Arial"/>
          <w:color w:val="000361"/>
          <w:sz w:val="20"/>
          <w:szCs w:val="20"/>
        </w:rPr>
        <w:t>Cerca dels comptes anuals dels últims 5 exercicis disponibles de Laboratoris H</w:t>
      </w:r>
      <w:r w:rsidR="00D51D8D">
        <w:rPr>
          <w:rFonts w:ascii="Arial" w:hAnsi="Arial" w:cs="Arial"/>
          <w:color w:val="000361"/>
          <w:sz w:val="20"/>
          <w:szCs w:val="20"/>
        </w:rPr>
        <w:t>ipra</w:t>
      </w:r>
    </w:p>
    <w:p w:rsidR="000E3BB6" w:rsidRPr="004E038A" w:rsidRDefault="000E3BB6" w:rsidP="000E3BB6">
      <w:pPr>
        <w:pStyle w:val="Prrafodelista"/>
        <w:jc w:val="both"/>
        <w:rPr>
          <w:rFonts w:ascii="Arial" w:hAnsi="Arial" w:cs="Arial"/>
          <w:color w:val="000361"/>
          <w:sz w:val="20"/>
          <w:szCs w:val="20"/>
        </w:rPr>
      </w:pPr>
    </w:p>
    <w:p w:rsidR="00FF513B" w:rsidRPr="0040185D" w:rsidRDefault="00FF513B" w:rsidP="0040185D">
      <w:pPr>
        <w:pStyle w:val="Prrafodelista"/>
        <w:numPr>
          <w:ilvl w:val="0"/>
          <w:numId w:val="12"/>
        </w:numPr>
        <w:jc w:val="both"/>
        <w:rPr>
          <w:rFonts w:ascii="Arial" w:hAnsi="Arial" w:cs="Arial"/>
          <w:color w:val="000361"/>
          <w:sz w:val="20"/>
          <w:szCs w:val="20"/>
        </w:rPr>
      </w:pPr>
      <w:r w:rsidRPr="004E038A">
        <w:rPr>
          <w:rFonts w:ascii="Arial" w:hAnsi="Arial" w:cs="Arial"/>
          <w:color w:val="000361"/>
          <w:sz w:val="20"/>
          <w:szCs w:val="20"/>
        </w:rPr>
        <w:t xml:space="preserve">Anàlisi vertical i horitzontal del balanç de situació i com es distribueixen les principals partides </w:t>
      </w:r>
      <w:r w:rsidRPr="0040185D">
        <w:rPr>
          <w:rFonts w:ascii="Arial" w:hAnsi="Arial" w:cs="Arial"/>
          <w:color w:val="000361"/>
          <w:sz w:val="20"/>
          <w:szCs w:val="20"/>
        </w:rPr>
        <w:t>de l’actiu i el passiu de l’empresa.</w:t>
      </w:r>
    </w:p>
    <w:p w:rsidR="000E3BB6" w:rsidRPr="004E038A" w:rsidRDefault="000E3BB6" w:rsidP="000E3BB6">
      <w:pPr>
        <w:pStyle w:val="Prrafodelista"/>
        <w:jc w:val="both"/>
        <w:rPr>
          <w:rFonts w:ascii="Arial" w:hAnsi="Arial" w:cs="Arial"/>
          <w:color w:val="000361"/>
          <w:sz w:val="20"/>
          <w:szCs w:val="20"/>
        </w:rPr>
      </w:pPr>
    </w:p>
    <w:p w:rsidR="000E3BB6" w:rsidRPr="004E038A" w:rsidRDefault="000E3BB6" w:rsidP="0040185D">
      <w:pPr>
        <w:pStyle w:val="Prrafodelista"/>
        <w:numPr>
          <w:ilvl w:val="0"/>
          <w:numId w:val="12"/>
        </w:numPr>
        <w:jc w:val="both"/>
        <w:rPr>
          <w:rFonts w:ascii="Arial" w:hAnsi="Arial" w:cs="Arial"/>
          <w:color w:val="000361"/>
          <w:sz w:val="20"/>
          <w:szCs w:val="20"/>
        </w:rPr>
      </w:pPr>
      <w:r w:rsidRPr="004E038A">
        <w:rPr>
          <w:rFonts w:ascii="Arial" w:hAnsi="Arial" w:cs="Arial"/>
          <w:color w:val="000361"/>
          <w:sz w:val="20"/>
          <w:szCs w:val="20"/>
        </w:rPr>
        <w:t>Anàlisi del compte de pèrdues i guanys</w:t>
      </w:r>
    </w:p>
    <w:p w:rsidR="000E3BB6" w:rsidRPr="004E038A" w:rsidRDefault="000E3BB6" w:rsidP="000E3BB6">
      <w:pPr>
        <w:pStyle w:val="Prrafodelista"/>
        <w:jc w:val="both"/>
        <w:rPr>
          <w:rFonts w:ascii="Arial" w:hAnsi="Arial" w:cs="Arial"/>
          <w:color w:val="000361"/>
          <w:sz w:val="20"/>
          <w:szCs w:val="20"/>
        </w:rPr>
      </w:pPr>
    </w:p>
    <w:p w:rsidR="00A748BF" w:rsidRPr="004E038A" w:rsidRDefault="000E3BB6" w:rsidP="0040185D">
      <w:pPr>
        <w:pStyle w:val="Prrafodelista"/>
        <w:numPr>
          <w:ilvl w:val="0"/>
          <w:numId w:val="12"/>
        </w:numPr>
        <w:jc w:val="both"/>
        <w:rPr>
          <w:rFonts w:ascii="Arial" w:hAnsi="Arial" w:cs="Arial"/>
          <w:color w:val="000361"/>
          <w:sz w:val="20"/>
          <w:szCs w:val="20"/>
        </w:rPr>
      </w:pPr>
      <w:r w:rsidRPr="004E038A">
        <w:rPr>
          <w:rFonts w:ascii="Arial" w:hAnsi="Arial" w:cs="Arial"/>
          <w:color w:val="000361"/>
          <w:sz w:val="20"/>
          <w:szCs w:val="20"/>
        </w:rPr>
        <w:t>Anàlisi de la rendibilitat</w:t>
      </w:r>
    </w:p>
    <w:p w:rsidR="000E3BB6" w:rsidRPr="004E038A" w:rsidRDefault="000E3BB6" w:rsidP="000E3BB6">
      <w:pPr>
        <w:pStyle w:val="Prrafodelista"/>
        <w:jc w:val="both"/>
        <w:rPr>
          <w:rFonts w:ascii="Arial" w:hAnsi="Arial" w:cs="Arial"/>
          <w:color w:val="000361"/>
          <w:sz w:val="20"/>
          <w:szCs w:val="20"/>
        </w:rPr>
      </w:pPr>
    </w:p>
    <w:p w:rsidR="000E3BB6" w:rsidRPr="004E038A" w:rsidRDefault="006E5C3E" w:rsidP="0040185D">
      <w:pPr>
        <w:pStyle w:val="Prrafodelista"/>
        <w:numPr>
          <w:ilvl w:val="0"/>
          <w:numId w:val="12"/>
        </w:numPr>
        <w:jc w:val="both"/>
        <w:rPr>
          <w:rFonts w:ascii="Arial" w:hAnsi="Arial" w:cs="Arial"/>
          <w:color w:val="000361"/>
          <w:sz w:val="20"/>
          <w:szCs w:val="20"/>
        </w:rPr>
      </w:pPr>
      <w:r w:rsidRPr="004E038A">
        <w:rPr>
          <w:rFonts w:ascii="Arial" w:hAnsi="Arial" w:cs="Arial"/>
          <w:color w:val="000361"/>
          <w:sz w:val="20"/>
          <w:szCs w:val="20"/>
        </w:rPr>
        <w:t>Anàlisi</w:t>
      </w:r>
      <w:r w:rsidR="000E3BB6" w:rsidRPr="004E038A">
        <w:rPr>
          <w:rFonts w:ascii="Arial" w:hAnsi="Arial" w:cs="Arial"/>
          <w:color w:val="000361"/>
          <w:sz w:val="20"/>
          <w:szCs w:val="20"/>
        </w:rPr>
        <w:t xml:space="preserve"> dels </w:t>
      </w:r>
      <w:r w:rsidRPr="004E038A">
        <w:rPr>
          <w:rFonts w:ascii="Arial" w:hAnsi="Arial" w:cs="Arial"/>
          <w:color w:val="000361"/>
          <w:sz w:val="20"/>
          <w:szCs w:val="20"/>
        </w:rPr>
        <w:t>fluxos</w:t>
      </w:r>
      <w:r w:rsidR="000E3BB6" w:rsidRPr="004E038A">
        <w:rPr>
          <w:rFonts w:ascii="Arial" w:hAnsi="Arial" w:cs="Arial"/>
          <w:color w:val="000361"/>
          <w:sz w:val="20"/>
          <w:szCs w:val="20"/>
        </w:rPr>
        <w:t xml:space="preserve"> d’efectiu</w:t>
      </w:r>
    </w:p>
    <w:p w:rsidR="000E3BB6" w:rsidRPr="004E038A" w:rsidRDefault="000E3BB6" w:rsidP="000E3BB6">
      <w:pPr>
        <w:pStyle w:val="Prrafodelista"/>
        <w:jc w:val="both"/>
        <w:rPr>
          <w:rFonts w:ascii="Arial" w:hAnsi="Arial" w:cs="Arial"/>
          <w:color w:val="000361"/>
          <w:sz w:val="20"/>
          <w:szCs w:val="20"/>
        </w:rPr>
      </w:pPr>
    </w:p>
    <w:p w:rsidR="000E3BB6" w:rsidRPr="004E038A" w:rsidRDefault="006E5C3E" w:rsidP="0040185D">
      <w:pPr>
        <w:pStyle w:val="Prrafodelista"/>
        <w:numPr>
          <w:ilvl w:val="0"/>
          <w:numId w:val="12"/>
        </w:numPr>
        <w:jc w:val="both"/>
        <w:rPr>
          <w:rFonts w:ascii="Arial" w:hAnsi="Arial" w:cs="Arial"/>
          <w:color w:val="000361"/>
          <w:sz w:val="20"/>
          <w:szCs w:val="20"/>
        </w:rPr>
      </w:pPr>
      <w:r w:rsidRPr="004E038A">
        <w:rPr>
          <w:rFonts w:ascii="Arial" w:hAnsi="Arial" w:cs="Arial"/>
          <w:color w:val="000361"/>
          <w:sz w:val="20"/>
          <w:szCs w:val="20"/>
        </w:rPr>
        <w:t>Anàlisi</w:t>
      </w:r>
      <w:r w:rsidR="000E3BB6" w:rsidRPr="004E038A">
        <w:rPr>
          <w:rFonts w:ascii="Arial" w:hAnsi="Arial" w:cs="Arial"/>
          <w:color w:val="000361"/>
          <w:sz w:val="20"/>
          <w:szCs w:val="20"/>
        </w:rPr>
        <w:t xml:space="preserve"> dels estats de canvi del patrimoni net</w:t>
      </w:r>
    </w:p>
    <w:p w:rsidR="000E3BB6" w:rsidRPr="004E038A" w:rsidRDefault="000E3BB6" w:rsidP="000E3BB6">
      <w:pPr>
        <w:pStyle w:val="Prrafodelista"/>
        <w:jc w:val="both"/>
        <w:rPr>
          <w:rFonts w:ascii="Arial" w:hAnsi="Arial" w:cs="Arial"/>
          <w:color w:val="000361"/>
          <w:sz w:val="20"/>
          <w:szCs w:val="20"/>
        </w:rPr>
      </w:pPr>
    </w:p>
    <w:p w:rsidR="000E3BB6" w:rsidRPr="004E038A" w:rsidRDefault="000E3BB6" w:rsidP="0040185D">
      <w:pPr>
        <w:pStyle w:val="Prrafodelista"/>
        <w:numPr>
          <w:ilvl w:val="0"/>
          <w:numId w:val="12"/>
        </w:numPr>
        <w:jc w:val="both"/>
        <w:rPr>
          <w:rFonts w:ascii="Arial" w:hAnsi="Arial" w:cs="Arial"/>
          <w:color w:val="000361"/>
          <w:sz w:val="20"/>
          <w:szCs w:val="20"/>
        </w:rPr>
      </w:pPr>
      <w:r w:rsidRPr="004E038A">
        <w:rPr>
          <w:rFonts w:ascii="Arial" w:hAnsi="Arial" w:cs="Arial"/>
          <w:color w:val="000361"/>
          <w:sz w:val="20"/>
          <w:szCs w:val="20"/>
        </w:rPr>
        <w:t>Anàlisi del context econòmic i social actual</w:t>
      </w:r>
    </w:p>
    <w:p w:rsidR="000E3BB6" w:rsidRPr="004E038A" w:rsidRDefault="000E3BB6" w:rsidP="000E3BB6">
      <w:pPr>
        <w:pStyle w:val="Prrafodelista"/>
        <w:jc w:val="both"/>
        <w:rPr>
          <w:rFonts w:ascii="Arial" w:hAnsi="Arial" w:cs="Arial"/>
          <w:color w:val="000361"/>
          <w:sz w:val="20"/>
          <w:szCs w:val="20"/>
        </w:rPr>
      </w:pPr>
    </w:p>
    <w:p w:rsidR="000E3BB6" w:rsidRPr="004E038A" w:rsidRDefault="000E3BB6" w:rsidP="0040185D">
      <w:pPr>
        <w:pStyle w:val="Prrafodelista"/>
        <w:numPr>
          <w:ilvl w:val="0"/>
          <w:numId w:val="12"/>
        </w:numPr>
        <w:jc w:val="both"/>
        <w:rPr>
          <w:rFonts w:ascii="Arial" w:hAnsi="Arial" w:cs="Arial"/>
          <w:color w:val="000361"/>
          <w:sz w:val="20"/>
          <w:szCs w:val="20"/>
        </w:rPr>
      </w:pPr>
      <w:r w:rsidRPr="004E038A">
        <w:rPr>
          <w:rFonts w:ascii="Arial" w:hAnsi="Arial" w:cs="Arial"/>
          <w:color w:val="000361"/>
          <w:sz w:val="20"/>
          <w:szCs w:val="20"/>
        </w:rPr>
        <w:t xml:space="preserve">Anàlisi del sector </w:t>
      </w:r>
      <w:r w:rsidR="006E5C3E" w:rsidRPr="004E038A">
        <w:rPr>
          <w:rFonts w:ascii="Arial" w:hAnsi="Arial" w:cs="Arial"/>
          <w:color w:val="000361"/>
          <w:sz w:val="20"/>
          <w:szCs w:val="20"/>
        </w:rPr>
        <w:t>farmacèutic</w:t>
      </w:r>
      <w:r w:rsidRPr="004E038A">
        <w:rPr>
          <w:rFonts w:ascii="Arial" w:hAnsi="Arial" w:cs="Arial"/>
          <w:color w:val="000361"/>
          <w:sz w:val="20"/>
          <w:szCs w:val="20"/>
        </w:rPr>
        <w:t xml:space="preserve"> i en particular</w:t>
      </w:r>
      <w:r w:rsidR="00134CAC" w:rsidRPr="004E038A">
        <w:rPr>
          <w:rFonts w:ascii="Arial" w:hAnsi="Arial" w:cs="Arial"/>
          <w:color w:val="000361"/>
          <w:sz w:val="20"/>
          <w:szCs w:val="20"/>
        </w:rPr>
        <w:t xml:space="preserve"> el sector farmacèutic de salut animal on intervé Laboratoris H</w:t>
      </w:r>
      <w:r w:rsidR="006F3AEA">
        <w:rPr>
          <w:rFonts w:ascii="Arial" w:hAnsi="Arial" w:cs="Arial"/>
          <w:color w:val="000361"/>
          <w:sz w:val="20"/>
          <w:szCs w:val="20"/>
        </w:rPr>
        <w:t>ipra</w:t>
      </w:r>
    </w:p>
    <w:p w:rsidR="00554C18" w:rsidRPr="004E038A" w:rsidRDefault="00554C18" w:rsidP="00554C18">
      <w:pPr>
        <w:pStyle w:val="Prrafodelista"/>
        <w:jc w:val="both"/>
        <w:rPr>
          <w:rFonts w:ascii="Arial" w:hAnsi="Arial" w:cs="Arial"/>
          <w:color w:val="000361"/>
          <w:sz w:val="20"/>
          <w:szCs w:val="20"/>
        </w:rPr>
      </w:pPr>
    </w:p>
    <w:p w:rsidR="00134CAC" w:rsidRPr="004E038A" w:rsidRDefault="00554C18" w:rsidP="0040185D">
      <w:pPr>
        <w:pStyle w:val="Prrafodelista"/>
        <w:numPr>
          <w:ilvl w:val="0"/>
          <w:numId w:val="12"/>
        </w:numPr>
        <w:jc w:val="both"/>
        <w:rPr>
          <w:rFonts w:ascii="Arial" w:hAnsi="Arial" w:cs="Arial"/>
          <w:color w:val="000361"/>
          <w:sz w:val="20"/>
          <w:szCs w:val="20"/>
        </w:rPr>
      </w:pPr>
      <w:r w:rsidRPr="004E038A">
        <w:rPr>
          <w:rFonts w:ascii="Arial" w:hAnsi="Arial" w:cs="Arial"/>
          <w:color w:val="000361"/>
          <w:sz w:val="20"/>
          <w:szCs w:val="20"/>
        </w:rPr>
        <w:t>Anàlisi comparatiu amb empreses competidores per mitjà dels principals indicadors econòmics i financers</w:t>
      </w:r>
    </w:p>
    <w:p w:rsidR="00554C18" w:rsidRPr="004E038A" w:rsidRDefault="00554C18" w:rsidP="00554C18">
      <w:pPr>
        <w:pStyle w:val="Prrafodelista"/>
        <w:jc w:val="both"/>
        <w:rPr>
          <w:rFonts w:ascii="Arial" w:hAnsi="Arial" w:cs="Arial"/>
          <w:color w:val="000361"/>
          <w:sz w:val="20"/>
          <w:szCs w:val="20"/>
        </w:rPr>
      </w:pPr>
    </w:p>
    <w:p w:rsidR="00554C18" w:rsidRPr="004E038A" w:rsidRDefault="00554C18" w:rsidP="0040185D">
      <w:pPr>
        <w:pStyle w:val="Prrafodelista"/>
        <w:numPr>
          <w:ilvl w:val="0"/>
          <w:numId w:val="12"/>
        </w:numPr>
        <w:jc w:val="both"/>
        <w:rPr>
          <w:rFonts w:ascii="Arial" w:hAnsi="Arial" w:cs="Arial"/>
          <w:color w:val="000361"/>
          <w:sz w:val="20"/>
          <w:szCs w:val="20"/>
        </w:rPr>
      </w:pPr>
      <w:r w:rsidRPr="004E038A">
        <w:rPr>
          <w:rFonts w:ascii="Arial" w:hAnsi="Arial" w:cs="Arial"/>
          <w:color w:val="000361"/>
          <w:sz w:val="20"/>
          <w:szCs w:val="20"/>
        </w:rPr>
        <w:t>Elaboració de la matriu DAFO de Laboratoris H</w:t>
      </w:r>
      <w:r w:rsidR="00D51D8D">
        <w:rPr>
          <w:rFonts w:ascii="Arial" w:hAnsi="Arial" w:cs="Arial"/>
          <w:color w:val="000361"/>
          <w:sz w:val="20"/>
          <w:szCs w:val="20"/>
        </w:rPr>
        <w:t>ipra</w:t>
      </w:r>
    </w:p>
    <w:p w:rsidR="00554C18" w:rsidRPr="004E038A" w:rsidRDefault="00554C18" w:rsidP="00554C18">
      <w:pPr>
        <w:pStyle w:val="Prrafodelista"/>
        <w:jc w:val="both"/>
        <w:rPr>
          <w:rFonts w:ascii="Arial" w:hAnsi="Arial" w:cs="Arial"/>
          <w:color w:val="000361"/>
          <w:sz w:val="20"/>
          <w:szCs w:val="20"/>
        </w:rPr>
      </w:pPr>
    </w:p>
    <w:p w:rsidR="00554C18" w:rsidRPr="004E038A" w:rsidRDefault="00554C18" w:rsidP="0040185D">
      <w:pPr>
        <w:pStyle w:val="Prrafodelista"/>
        <w:numPr>
          <w:ilvl w:val="0"/>
          <w:numId w:val="12"/>
        </w:numPr>
        <w:jc w:val="both"/>
        <w:rPr>
          <w:rFonts w:ascii="Arial" w:hAnsi="Arial" w:cs="Arial"/>
          <w:color w:val="000361"/>
          <w:sz w:val="20"/>
          <w:szCs w:val="20"/>
        </w:rPr>
      </w:pPr>
      <w:r w:rsidRPr="004E038A">
        <w:rPr>
          <w:rFonts w:ascii="Arial" w:hAnsi="Arial" w:cs="Arial"/>
          <w:color w:val="000361"/>
          <w:sz w:val="20"/>
          <w:szCs w:val="20"/>
        </w:rPr>
        <w:t>Perspectives de futur de l’empresa i recomanacions</w:t>
      </w:r>
    </w:p>
    <w:p w:rsidR="00554C18" w:rsidRPr="004E038A" w:rsidRDefault="00554C18" w:rsidP="00554C18">
      <w:pPr>
        <w:pStyle w:val="Prrafodelista"/>
        <w:jc w:val="both"/>
        <w:rPr>
          <w:rFonts w:ascii="Arial" w:hAnsi="Arial" w:cs="Arial"/>
          <w:color w:val="000361"/>
          <w:sz w:val="20"/>
          <w:szCs w:val="20"/>
        </w:rPr>
      </w:pPr>
    </w:p>
    <w:p w:rsidR="00554C18" w:rsidRPr="004E038A" w:rsidRDefault="00554C18" w:rsidP="0040185D">
      <w:pPr>
        <w:pStyle w:val="Prrafodelista"/>
        <w:numPr>
          <w:ilvl w:val="0"/>
          <w:numId w:val="12"/>
        </w:numPr>
        <w:jc w:val="both"/>
        <w:rPr>
          <w:rFonts w:ascii="Arial" w:hAnsi="Arial" w:cs="Arial"/>
          <w:color w:val="000361"/>
          <w:sz w:val="20"/>
          <w:szCs w:val="20"/>
        </w:rPr>
      </w:pPr>
      <w:r w:rsidRPr="004E038A">
        <w:rPr>
          <w:rFonts w:ascii="Arial" w:hAnsi="Arial" w:cs="Arial"/>
          <w:color w:val="000361"/>
          <w:sz w:val="20"/>
          <w:szCs w:val="20"/>
        </w:rPr>
        <w:t>La responsabilitat social i ètica a Laboratoris H</w:t>
      </w:r>
      <w:r w:rsidR="00D51D8D">
        <w:rPr>
          <w:rFonts w:ascii="Arial" w:hAnsi="Arial" w:cs="Arial"/>
          <w:color w:val="000361"/>
          <w:sz w:val="20"/>
          <w:szCs w:val="20"/>
        </w:rPr>
        <w:t>ipra</w:t>
      </w:r>
    </w:p>
    <w:p w:rsidR="00554C18" w:rsidRPr="004E038A" w:rsidRDefault="00554C18" w:rsidP="00554C18">
      <w:pPr>
        <w:jc w:val="both"/>
        <w:rPr>
          <w:rFonts w:ascii="Arial" w:hAnsi="Arial" w:cs="Arial"/>
          <w:color w:val="000361"/>
          <w:sz w:val="20"/>
          <w:szCs w:val="20"/>
        </w:rPr>
      </w:pPr>
    </w:p>
    <w:p w:rsidR="00554C18" w:rsidRPr="004E038A" w:rsidRDefault="00554C18" w:rsidP="00554C18">
      <w:pPr>
        <w:jc w:val="both"/>
        <w:rPr>
          <w:rFonts w:ascii="Arial" w:hAnsi="Arial" w:cs="Arial"/>
          <w:color w:val="000361"/>
          <w:sz w:val="20"/>
          <w:szCs w:val="20"/>
        </w:rPr>
      </w:pPr>
    </w:p>
    <w:p w:rsidR="00F659B5" w:rsidRPr="004E038A" w:rsidRDefault="00554C18" w:rsidP="00554C18">
      <w:pPr>
        <w:jc w:val="both"/>
        <w:rPr>
          <w:rFonts w:ascii="Arial" w:hAnsi="Arial" w:cs="Arial"/>
          <w:color w:val="000361"/>
          <w:sz w:val="20"/>
          <w:szCs w:val="20"/>
        </w:rPr>
      </w:pPr>
      <w:r w:rsidRPr="004E038A">
        <w:rPr>
          <w:rFonts w:ascii="Arial" w:hAnsi="Arial" w:cs="Arial"/>
          <w:color w:val="000361"/>
          <w:sz w:val="20"/>
          <w:szCs w:val="20"/>
        </w:rPr>
        <w:t xml:space="preserve">Per elaborar aquest estudi </w:t>
      </w:r>
      <w:r w:rsidR="00F659B5" w:rsidRPr="004E038A">
        <w:rPr>
          <w:rFonts w:ascii="Arial" w:hAnsi="Arial" w:cs="Arial"/>
          <w:color w:val="000361"/>
          <w:sz w:val="20"/>
          <w:szCs w:val="20"/>
        </w:rPr>
        <w:t>s’ha consultat</w:t>
      </w:r>
      <w:r w:rsidR="0022110D">
        <w:rPr>
          <w:rFonts w:ascii="Arial" w:hAnsi="Arial" w:cs="Arial"/>
          <w:color w:val="000361"/>
          <w:sz w:val="20"/>
          <w:szCs w:val="20"/>
        </w:rPr>
        <w:t xml:space="preserve"> les següents fonts d’informació</w:t>
      </w:r>
      <w:r w:rsidR="00F659B5" w:rsidRPr="004E038A">
        <w:rPr>
          <w:rFonts w:ascii="Arial" w:hAnsi="Arial" w:cs="Arial"/>
          <w:color w:val="000361"/>
          <w:sz w:val="20"/>
          <w:szCs w:val="20"/>
        </w:rPr>
        <w:t>:</w:t>
      </w:r>
    </w:p>
    <w:p w:rsidR="00F659B5" w:rsidRPr="004E038A" w:rsidRDefault="00F659B5" w:rsidP="00554C18">
      <w:pPr>
        <w:jc w:val="both"/>
        <w:rPr>
          <w:rFonts w:ascii="Arial" w:hAnsi="Arial" w:cs="Arial"/>
          <w:color w:val="000361"/>
          <w:sz w:val="20"/>
          <w:szCs w:val="20"/>
        </w:rPr>
      </w:pPr>
    </w:p>
    <w:p w:rsidR="00554C18" w:rsidRPr="004E038A" w:rsidRDefault="00554C18" w:rsidP="0040185D">
      <w:pPr>
        <w:pStyle w:val="Prrafodelista"/>
        <w:numPr>
          <w:ilvl w:val="0"/>
          <w:numId w:val="13"/>
        </w:numPr>
        <w:jc w:val="both"/>
        <w:rPr>
          <w:rFonts w:ascii="Arial" w:hAnsi="Arial" w:cs="Arial"/>
          <w:color w:val="000361"/>
          <w:sz w:val="20"/>
          <w:szCs w:val="20"/>
        </w:rPr>
      </w:pPr>
      <w:r w:rsidRPr="004E038A">
        <w:rPr>
          <w:rFonts w:ascii="Arial" w:hAnsi="Arial" w:cs="Arial"/>
          <w:color w:val="000361"/>
          <w:sz w:val="20"/>
          <w:szCs w:val="20"/>
        </w:rPr>
        <w:t>els comptes anuals</w:t>
      </w:r>
      <w:r w:rsidR="00F659B5" w:rsidRPr="004E038A">
        <w:rPr>
          <w:rFonts w:ascii="Arial" w:hAnsi="Arial" w:cs="Arial"/>
          <w:color w:val="000361"/>
          <w:sz w:val="20"/>
          <w:szCs w:val="20"/>
        </w:rPr>
        <w:t xml:space="preserve"> consolidats</w:t>
      </w:r>
      <w:r w:rsidRPr="004E038A">
        <w:rPr>
          <w:rFonts w:ascii="Arial" w:hAnsi="Arial" w:cs="Arial"/>
          <w:color w:val="000361"/>
          <w:sz w:val="20"/>
          <w:szCs w:val="20"/>
        </w:rPr>
        <w:t xml:space="preserve"> de Laboratoris H</w:t>
      </w:r>
      <w:r w:rsidR="00D51D8D">
        <w:rPr>
          <w:rFonts w:ascii="Arial" w:hAnsi="Arial" w:cs="Arial"/>
          <w:color w:val="000361"/>
          <w:sz w:val="20"/>
          <w:szCs w:val="20"/>
        </w:rPr>
        <w:t>ipra</w:t>
      </w:r>
      <w:r w:rsidR="00F659B5" w:rsidRPr="004E038A">
        <w:rPr>
          <w:rFonts w:ascii="Arial" w:hAnsi="Arial" w:cs="Arial"/>
          <w:color w:val="000361"/>
          <w:sz w:val="20"/>
          <w:szCs w:val="20"/>
        </w:rPr>
        <w:t xml:space="preserve"> de la base de dades SABI</w:t>
      </w:r>
    </w:p>
    <w:p w:rsidR="00F659B5" w:rsidRPr="004E038A" w:rsidRDefault="00F659B5" w:rsidP="00F659B5">
      <w:pPr>
        <w:pStyle w:val="Prrafodelista"/>
        <w:ind w:left="772"/>
        <w:jc w:val="both"/>
        <w:rPr>
          <w:rFonts w:ascii="Arial" w:hAnsi="Arial" w:cs="Arial"/>
          <w:color w:val="000361"/>
          <w:sz w:val="20"/>
          <w:szCs w:val="20"/>
        </w:rPr>
      </w:pPr>
    </w:p>
    <w:p w:rsidR="00F659B5" w:rsidRPr="004E038A" w:rsidRDefault="00F659B5" w:rsidP="0040185D">
      <w:pPr>
        <w:pStyle w:val="Prrafodelista"/>
        <w:numPr>
          <w:ilvl w:val="0"/>
          <w:numId w:val="13"/>
        </w:numPr>
        <w:jc w:val="both"/>
        <w:rPr>
          <w:rFonts w:ascii="Arial" w:hAnsi="Arial" w:cs="Arial"/>
          <w:color w:val="000361"/>
          <w:sz w:val="20"/>
          <w:szCs w:val="20"/>
        </w:rPr>
      </w:pPr>
      <w:r w:rsidRPr="004E038A">
        <w:rPr>
          <w:rFonts w:ascii="Arial" w:hAnsi="Arial" w:cs="Arial"/>
          <w:color w:val="000361"/>
          <w:sz w:val="20"/>
          <w:szCs w:val="20"/>
        </w:rPr>
        <w:t>els informes d’informació no financera de 2018 i 2019 de l’empresa H</w:t>
      </w:r>
      <w:r w:rsidR="00D51D8D">
        <w:rPr>
          <w:rFonts w:ascii="Arial" w:hAnsi="Arial" w:cs="Arial"/>
          <w:color w:val="000361"/>
          <w:sz w:val="20"/>
          <w:szCs w:val="20"/>
        </w:rPr>
        <w:t>ipra</w:t>
      </w:r>
      <w:r w:rsidRPr="004E038A">
        <w:rPr>
          <w:rFonts w:ascii="Arial" w:hAnsi="Arial" w:cs="Arial"/>
          <w:color w:val="000361"/>
          <w:sz w:val="20"/>
          <w:szCs w:val="20"/>
        </w:rPr>
        <w:t xml:space="preserve"> obtinguts de la seva pàgina web.</w:t>
      </w:r>
    </w:p>
    <w:p w:rsidR="00F659B5" w:rsidRPr="004E038A" w:rsidRDefault="00F659B5" w:rsidP="00F659B5">
      <w:pPr>
        <w:pStyle w:val="Prrafodelista"/>
        <w:ind w:left="772"/>
        <w:jc w:val="both"/>
        <w:rPr>
          <w:rFonts w:ascii="Arial" w:hAnsi="Arial" w:cs="Arial"/>
          <w:color w:val="000361"/>
          <w:sz w:val="20"/>
          <w:szCs w:val="20"/>
        </w:rPr>
      </w:pPr>
    </w:p>
    <w:p w:rsidR="00F659B5" w:rsidRPr="004E038A" w:rsidRDefault="0040185D" w:rsidP="0040185D">
      <w:pPr>
        <w:pStyle w:val="Prrafodelista"/>
        <w:numPr>
          <w:ilvl w:val="0"/>
          <w:numId w:val="13"/>
        </w:numPr>
        <w:jc w:val="both"/>
        <w:rPr>
          <w:rFonts w:ascii="Arial" w:hAnsi="Arial" w:cs="Arial"/>
          <w:color w:val="000361"/>
          <w:sz w:val="20"/>
          <w:szCs w:val="20"/>
        </w:rPr>
      </w:pPr>
      <w:r>
        <w:rPr>
          <w:rFonts w:ascii="Arial" w:hAnsi="Arial" w:cs="Arial"/>
          <w:color w:val="000361"/>
          <w:sz w:val="20"/>
          <w:szCs w:val="20"/>
        </w:rPr>
        <w:t>La informació sobre els</w:t>
      </w:r>
      <w:r w:rsidR="00F659B5" w:rsidRPr="004E038A">
        <w:rPr>
          <w:rFonts w:ascii="Arial" w:hAnsi="Arial" w:cs="Arial"/>
          <w:color w:val="000361"/>
          <w:sz w:val="20"/>
          <w:szCs w:val="20"/>
        </w:rPr>
        <w:t xml:space="preserve"> estats financers de les empreses competidores s’ha </w:t>
      </w:r>
      <w:r>
        <w:rPr>
          <w:rFonts w:ascii="Arial" w:hAnsi="Arial" w:cs="Arial"/>
          <w:color w:val="000361"/>
          <w:sz w:val="20"/>
          <w:szCs w:val="20"/>
        </w:rPr>
        <w:t>obtingut</w:t>
      </w:r>
      <w:r w:rsidR="00F659B5" w:rsidRPr="004E038A">
        <w:rPr>
          <w:rFonts w:ascii="Arial" w:hAnsi="Arial" w:cs="Arial"/>
          <w:color w:val="000361"/>
          <w:sz w:val="20"/>
          <w:szCs w:val="20"/>
        </w:rPr>
        <w:t xml:space="preserve"> </w:t>
      </w:r>
      <w:r>
        <w:rPr>
          <w:rFonts w:ascii="Arial" w:hAnsi="Arial" w:cs="Arial"/>
          <w:color w:val="000361"/>
          <w:sz w:val="20"/>
          <w:szCs w:val="20"/>
        </w:rPr>
        <w:t>de</w:t>
      </w:r>
      <w:r w:rsidR="00F659B5" w:rsidRPr="004E038A">
        <w:rPr>
          <w:rFonts w:ascii="Arial" w:hAnsi="Arial" w:cs="Arial"/>
          <w:color w:val="000361"/>
          <w:sz w:val="20"/>
          <w:szCs w:val="20"/>
        </w:rPr>
        <w:t xml:space="preserve"> les seves pàgines web corporatives.</w:t>
      </w:r>
    </w:p>
    <w:p w:rsidR="00F659B5" w:rsidRPr="004E038A" w:rsidRDefault="00F659B5" w:rsidP="00F659B5">
      <w:pPr>
        <w:pStyle w:val="Prrafodelista"/>
        <w:ind w:left="772"/>
        <w:jc w:val="both"/>
        <w:rPr>
          <w:rFonts w:ascii="Arial" w:hAnsi="Arial" w:cs="Arial"/>
          <w:color w:val="000361"/>
          <w:sz w:val="20"/>
          <w:szCs w:val="20"/>
        </w:rPr>
      </w:pPr>
    </w:p>
    <w:p w:rsidR="00F659B5" w:rsidRPr="004E038A" w:rsidRDefault="00F659B5" w:rsidP="0040185D">
      <w:pPr>
        <w:pStyle w:val="Prrafodelista"/>
        <w:numPr>
          <w:ilvl w:val="0"/>
          <w:numId w:val="13"/>
        </w:numPr>
        <w:jc w:val="both"/>
        <w:rPr>
          <w:rFonts w:ascii="Arial" w:hAnsi="Arial" w:cs="Arial"/>
          <w:color w:val="000361"/>
          <w:sz w:val="20"/>
          <w:szCs w:val="20"/>
        </w:rPr>
      </w:pPr>
      <w:r w:rsidRPr="004E038A">
        <w:rPr>
          <w:rFonts w:ascii="Arial" w:hAnsi="Arial" w:cs="Arial"/>
          <w:color w:val="000361"/>
          <w:sz w:val="20"/>
          <w:szCs w:val="20"/>
        </w:rPr>
        <w:t>S’han consultat diversos articles i notícies relacionades amb Laboratoris H</w:t>
      </w:r>
      <w:r w:rsidR="00D51D8D">
        <w:rPr>
          <w:rFonts w:ascii="Arial" w:hAnsi="Arial" w:cs="Arial"/>
          <w:color w:val="000361"/>
          <w:sz w:val="20"/>
          <w:szCs w:val="20"/>
        </w:rPr>
        <w:t>ipra</w:t>
      </w:r>
      <w:r w:rsidRPr="004E038A">
        <w:rPr>
          <w:rFonts w:ascii="Arial" w:hAnsi="Arial" w:cs="Arial"/>
          <w:color w:val="000361"/>
          <w:sz w:val="20"/>
          <w:szCs w:val="20"/>
        </w:rPr>
        <w:t xml:space="preserve"> i el sector farmacèutic en salut animal que es troben referenciats a la bibliografia.</w:t>
      </w:r>
    </w:p>
    <w:p w:rsidR="006A00F7" w:rsidRPr="004E038A" w:rsidRDefault="006A00F7" w:rsidP="006A00F7">
      <w:pPr>
        <w:jc w:val="both"/>
        <w:rPr>
          <w:rFonts w:ascii="Arial" w:hAnsi="Arial" w:cs="Arial"/>
          <w:color w:val="000361"/>
          <w:sz w:val="20"/>
          <w:szCs w:val="20"/>
        </w:rPr>
      </w:pPr>
    </w:p>
    <w:p w:rsidR="006A00F7" w:rsidRPr="004E038A" w:rsidRDefault="006A00F7" w:rsidP="006A00F7">
      <w:pPr>
        <w:pStyle w:val="Prrafodelista"/>
        <w:numPr>
          <w:ilvl w:val="0"/>
          <w:numId w:val="6"/>
        </w:numPr>
        <w:jc w:val="both"/>
        <w:rPr>
          <w:rFonts w:ascii="Arial" w:hAnsi="Arial" w:cs="Arial"/>
          <w:b/>
          <w:color w:val="000361"/>
          <w:sz w:val="20"/>
          <w:szCs w:val="20"/>
        </w:rPr>
      </w:pPr>
      <w:r w:rsidRPr="004E038A">
        <w:rPr>
          <w:rFonts w:ascii="Arial" w:hAnsi="Arial" w:cs="Arial"/>
          <w:b/>
          <w:color w:val="000361"/>
          <w:sz w:val="20"/>
          <w:szCs w:val="20"/>
        </w:rPr>
        <w:br w:type="page"/>
      </w:r>
    </w:p>
    <w:p w:rsidR="006A00F7" w:rsidRPr="009A0474" w:rsidRDefault="006A00F7" w:rsidP="006A00F7">
      <w:pPr>
        <w:pStyle w:val="Prrafodelista"/>
        <w:numPr>
          <w:ilvl w:val="0"/>
          <w:numId w:val="8"/>
        </w:numPr>
        <w:ind w:left="0" w:firstLine="0"/>
        <w:jc w:val="both"/>
        <w:rPr>
          <w:rFonts w:ascii="Arial" w:hAnsi="Arial" w:cs="Arial"/>
          <w:b/>
          <w:color w:val="000361"/>
        </w:rPr>
      </w:pPr>
      <w:r w:rsidRPr="009A0474">
        <w:rPr>
          <w:rFonts w:ascii="Arial" w:hAnsi="Arial" w:cs="Arial"/>
          <w:b/>
          <w:color w:val="000361"/>
        </w:rPr>
        <w:lastRenderedPageBreak/>
        <w:t xml:space="preserve">ANÀLISI QUALITATIU DE LABORATORIS HIPRA </w:t>
      </w:r>
    </w:p>
    <w:p w:rsidR="006A00F7" w:rsidRPr="004E038A" w:rsidRDefault="006A00F7" w:rsidP="006A00F7">
      <w:pPr>
        <w:pStyle w:val="Prrafodelista"/>
        <w:jc w:val="both"/>
        <w:rPr>
          <w:rFonts w:ascii="Arial" w:hAnsi="Arial" w:cs="Arial"/>
          <w:b/>
          <w:color w:val="000361"/>
          <w:sz w:val="20"/>
          <w:szCs w:val="20"/>
        </w:rPr>
      </w:pPr>
    </w:p>
    <w:p w:rsidR="006A00F7" w:rsidRPr="004E038A" w:rsidRDefault="006A00F7" w:rsidP="006A00F7">
      <w:pPr>
        <w:pStyle w:val="Prrafodelista"/>
        <w:jc w:val="both"/>
        <w:rPr>
          <w:rFonts w:ascii="Arial" w:hAnsi="Arial" w:cs="Arial"/>
          <w:b/>
          <w:color w:val="000361"/>
          <w:sz w:val="20"/>
          <w:szCs w:val="20"/>
        </w:rPr>
      </w:pPr>
    </w:p>
    <w:p w:rsidR="006A00F7" w:rsidRPr="009A0474" w:rsidRDefault="006A00F7" w:rsidP="006A00F7">
      <w:pPr>
        <w:pStyle w:val="Prrafodelista"/>
        <w:numPr>
          <w:ilvl w:val="1"/>
          <w:numId w:val="10"/>
        </w:numPr>
        <w:ind w:left="0" w:firstLine="0"/>
        <w:jc w:val="both"/>
        <w:rPr>
          <w:rFonts w:ascii="Arial" w:hAnsi="Arial" w:cs="Arial"/>
          <w:b/>
          <w:color w:val="000361"/>
        </w:rPr>
      </w:pPr>
      <w:r w:rsidRPr="009A0474">
        <w:rPr>
          <w:rFonts w:ascii="Arial" w:hAnsi="Arial" w:cs="Arial"/>
          <w:b/>
          <w:color w:val="000361"/>
        </w:rPr>
        <w:t>Introducció a l’empresa</w:t>
      </w:r>
    </w:p>
    <w:p w:rsidR="006A00F7" w:rsidRPr="004E038A" w:rsidRDefault="006A00F7" w:rsidP="006A00F7">
      <w:pPr>
        <w:pStyle w:val="Prrafodelista"/>
        <w:jc w:val="both"/>
        <w:rPr>
          <w:rFonts w:ascii="Arial" w:hAnsi="Arial" w:cs="Arial"/>
          <w:b/>
          <w:color w:val="000361"/>
          <w:sz w:val="20"/>
          <w:szCs w:val="20"/>
        </w:rPr>
      </w:pPr>
    </w:p>
    <w:p w:rsidR="002470BB" w:rsidRPr="004E038A" w:rsidRDefault="00A41721" w:rsidP="006A00F7">
      <w:pPr>
        <w:pStyle w:val="Prrafodelista"/>
        <w:ind w:left="0"/>
        <w:jc w:val="both"/>
        <w:rPr>
          <w:rFonts w:ascii="Arial" w:hAnsi="Arial" w:cs="Arial"/>
          <w:color w:val="000361"/>
          <w:sz w:val="20"/>
          <w:szCs w:val="20"/>
        </w:rPr>
      </w:pPr>
      <w:r w:rsidRPr="004E038A">
        <w:rPr>
          <w:rFonts w:ascii="Arial" w:hAnsi="Arial" w:cs="Arial"/>
          <w:color w:val="000361"/>
          <w:sz w:val="20"/>
          <w:szCs w:val="20"/>
        </w:rPr>
        <w:t>H</w:t>
      </w:r>
      <w:r w:rsidR="00D51D8D">
        <w:rPr>
          <w:rFonts w:ascii="Arial" w:hAnsi="Arial" w:cs="Arial"/>
          <w:color w:val="000361"/>
          <w:sz w:val="20"/>
          <w:szCs w:val="20"/>
        </w:rPr>
        <w:t>ipra</w:t>
      </w:r>
      <w:r w:rsidRPr="004E038A">
        <w:rPr>
          <w:rFonts w:ascii="Arial" w:hAnsi="Arial" w:cs="Arial"/>
          <w:color w:val="000361"/>
          <w:sz w:val="20"/>
          <w:szCs w:val="20"/>
        </w:rPr>
        <w:t xml:space="preserve"> és un grup empresarial</w:t>
      </w:r>
      <w:r w:rsidR="00826E7D" w:rsidRPr="004E038A">
        <w:rPr>
          <w:rFonts w:ascii="Arial" w:hAnsi="Arial" w:cs="Arial"/>
          <w:color w:val="000361"/>
          <w:sz w:val="20"/>
          <w:szCs w:val="20"/>
        </w:rPr>
        <w:t xml:space="preserve"> de capital familiar presidida per David Nogareda Estivill.</w:t>
      </w:r>
      <w:r w:rsidRPr="004E038A">
        <w:rPr>
          <w:rFonts w:ascii="Arial" w:hAnsi="Arial" w:cs="Arial"/>
          <w:color w:val="000361"/>
          <w:sz w:val="20"/>
          <w:szCs w:val="20"/>
        </w:rPr>
        <w:t xml:space="preserve"> </w:t>
      </w:r>
      <w:r w:rsidR="00826E7D" w:rsidRPr="004E038A">
        <w:rPr>
          <w:rFonts w:ascii="Arial" w:hAnsi="Arial" w:cs="Arial"/>
          <w:color w:val="000361"/>
          <w:sz w:val="20"/>
          <w:szCs w:val="20"/>
        </w:rPr>
        <w:t>A</w:t>
      </w:r>
      <w:r w:rsidRPr="004E038A">
        <w:rPr>
          <w:rFonts w:ascii="Arial" w:hAnsi="Arial" w:cs="Arial"/>
          <w:color w:val="000361"/>
          <w:sz w:val="20"/>
          <w:szCs w:val="20"/>
        </w:rPr>
        <w:t>mb una trajectòria de més de 50 anys dedicats a la Salut Animal</w:t>
      </w:r>
      <w:r w:rsidR="00826E7D" w:rsidRPr="004E038A">
        <w:rPr>
          <w:rFonts w:ascii="Arial" w:hAnsi="Arial" w:cs="Arial"/>
          <w:color w:val="000361"/>
          <w:sz w:val="20"/>
          <w:szCs w:val="20"/>
        </w:rPr>
        <w:t>, l’empresa s’ha focalitzat en l’especialització de biològics</w:t>
      </w:r>
      <w:r w:rsidR="00621339" w:rsidRPr="004E038A">
        <w:rPr>
          <w:rFonts w:ascii="Arial" w:hAnsi="Arial" w:cs="Arial"/>
          <w:color w:val="000361"/>
          <w:sz w:val="20"/>
          <w:szCs w:val="20"/>
        </w:rPr>
        <w:t xml:space="preserve"> per a la prevenció</w:t>
      </w:r>
      <w:r w:rsidRPr="004E038A">
        <w:rPr>
          <w:rFonts w:ascii="Arial" w:hAnsi="Arial" w:cs="Arial"/>
          <w:color w:val="000361"/>
          <w:sz w:val="20"/>
          <w:szCs w:val="20"/>
        </w:rPr>
        <w:t>.</w:t>
      </w:r>
    </w:p>
    <w:p w:rsidR="00685960" w:rsidRPr="004E038A" w:rsidRDefault="00685960" w:rsidP="006A00F7">
      <w:pPr>
        <w:pStyle w:val="Prrafodelista"/>
        <w:ind w:left="0"/>
        <w:jc w:val="both"/>
        <w:rPr>
          <w:rFonts w:ascii="Arial" w:hAnsi="Arial" w:cs="Arial"/>
          <w:color w:val="000361"/>
          <w:sz w:val="20"/>
          <w:szCs w:val="20"/>
        </w:rPr>
      </w:pPr>
    </w:p>
    <w:p w:rsidR="00685960" w:rsidRPr="004E038A" w:rsidRDefault="00685960" w:rsidP="00685960">
      <w:pPr>
        <w:pStyle w:val="Prrafodelista"/>
        <w:ind w:left="0"/>
        <w:jc w:val="both"/>
        <w:rPr>
          <w:rFonts w:ascii="Arial" w:hAnsi="Arial" w:cs="Arial"/>
          <w:color w:val="000361"/>
          <w:sz w:val="20"/>
          <w:szCs w:val="20"/>
        </w:rPr>
      </w:pPr>
      <w:r w:rsidRPr="004E038A">
        <w:rPr>
          <w:rFonts w:ascii="Arial" w:hAnsi="Arial" w:cs="Arial"/>
          <w:color w:val="000361"/>
          <w:sz w:val="20"/>
          <w:szCs w:val="20"/>
        </w:rPr>
        <w:t>La seu central de la companyia es troba a Amer (Girona), on també concentra les seves activitats relacionades amb la investigació i desenvolupament de productes, no obstant es troba present en més de 100 països amb una xarxa de 29 filials comercials pròpies i dues plantes productives a Espanya (Europa) i Brasil (Amèrica), i té una plantilla de 1781 treballadors, 1106 d’aquests a Espanya.</w:t>
      </w:r>
    </w:p>
    <w:p w:rsidR="002470BB" w:rsidRPr="004E038A" w:rsidRDefault="002470BB" w:rsidP="006A00F7">
      <w:pPr>
        <w:pStyle w:val="Prrafodelista"/>
        <w:ind w:left="0"/>
        <w:jc w:val="both"/>
        <w:rPr>
          <w:rFonts w:ascii="Arial" w:hAnsi="Arial" w:cs="Arial"/>
          <w:color w:val="000361"/>
          <w:sz w:val="20"/>
          <w:szCs w:val="20"/>
        </w:rPr>
      </w:pPr>
    </w:p>
    <w:p w:rsidR="00534B9F" w:rsidRPr="004E038A" w:rsidRDefault="00621339" w:rsidP="006A00F7">
      <w:pPr>
        <w:pStyle w:val="Prrafodelista"/>
        <w:ind w:left="0"/>
        <w:jc w:val="both"/>
        <w:rPr>
          <w:rFonts w:ascii="Arial" w:hAnsi="Arial" w:cs="Arial"/>
          <w:color w:val="000361"/>
          <w:sz w:val="20"/>
          <w:szCs w:val="20"/>
        </w:rPr>
      </w:pPr>
      <w:r w:rsidRPr="004E038A">
        <w:rPr>
          <w:rFonts w:ascii="Arial" w:hAnsi="Arial" w:cs="Arial"/>
          <w:color w:val="000361"/>
          <w:sz w:val="20"/>
          <w:szCs w:val="20"/>
        </w:rPr>
        <w:t xml:space="preserve">A partir de la dècada dels 90 l’empresa iniciar l’aventura cap a mercats internacionals, primer mitjançant agents comercials als països destinataris i més endavant amb delegacions comercials pròpies. </w:t>
      </w:r>
      <w:r w:rsidR="004A5B6A" w:rsidRPr="004E038A">
        <w:rPr>
          <w:rFonts w:ascii="Arial" w:hAnsi="Arial" w:cs="Arial"/>
          <w:color w:val="000361"/>
          <w:sz w:val="20"/>
          <w:szCs w:val="20"/>
        </w:rPr>
        <w:t>El 2008 va</w:t>
      </w:r>
      <w:r w:rsidR="002470BB" w:rsidRPr="004E038A">
        <w:rPr>
          <w:rFonts w:ascii="Arial" w:hAnsi="Arial" w:cs="Arial"/>
          <w:color w:val="000361"/>
          <w:sz w:val="20"/>
          <w:szCs w:val="20"/>
        </w:rPr>
        <w:t>n</w:t>
      </w:r>
      <w:r w:rsidR="004A5B6A" w:rsidRPr="004E038A">
        <w:rPr>
          <w:rFonts w:ascii="Arial" w:hAnsi="Arial" w:cs="Arial"/>
          <w:color w:val="000361"/>
          <w:sz w:val="20"/>
          <w:szCs w:val="20"/>
        </w:rPr>
        <w:t xml:space="preserve"> prendre una decisió </w:t>
      </w:r>
      <w:r w:rsidR="002470BB" w:rsidRPr="004E038A">
        <w:rPr>
          <w:rFonts w:ascii="Arial" w:hAnsi="Arial" w:cs="Arial"/>
          <w:color w:val="000361"/>
          <w:sz w:val="20"/>
          <w:szCs w:val="20"/>
        </w:rPr>
        <w:t>valenta,</w:t>
      </w:r>
      <w:r w:rsidR="004A5B6A" w:rsidRPr="004E038A">
        <w:rPr>
          <w:rFonts w:ascii="Arial" w:hAnsi="Arial" w:cs="Arial"/>
          <w:color w:val="000361"/>
          <w:sz w:val="20"/>
          <w:szCs w:val="20"/>
        </w:rPr>
        <w:t xml:space="preserve"> </w:t>
      </w:r>
      <w:r w:rsidR="006E5C3E" w:rsidRPr="004E038A">
        <w:rPr>
          <w:rFonts w:ascii="Arial" w:hAnsi="Arial" w:cs="Arial"/>
          <w:color w:val="000361"/>
          <w:sz w:val="20"/>
          <w:szCs w:val="20"/>
        </w:rPr>
        <w:t>discontinuant</w:t>
      </w:r>
      <w:r w:rsidR="004A5B6A" w:rsidRPr="004E038A">
        <w:rPr>
          <w:rFonts w:ascii="Arial" w:hAnsi="Arial" w:cs="Arial"/>
          <w:color w:val="000361"/>
          <w:sz w:val="20"/>
          <w:szCs w:val="20"/>
        </w:rPr>
        <w:t xml:space="preserve"> el negoci i desenvolupament de medicaments per animals que representaven el 60% de la seva facturació per concentrar tot </w:t>
      </w:r>
      <w:r w:rsidRPr="004E038A">
        <w:rPr>
          <w:rFonts w:ascii="Arial" w:hAnsi="Arial" w:cs="Arial"/>
          <w:color w:val="000361"/>
          <w:sz w:val="20"/>
          <w:szCs w:val="20"/>
        </w:rPr>
        <w:t>l’interès i</w:t>
      </w:r>
      <w:r w:rsidR="004A5B6A" w:rsidRPr="004E038A">
        <w:rPr>
          <w:rFonts w:ascii="Arial" w:hAnsi="Arial" w:cs="Arial"/>
          <w:color w:val="000361"/>
          <w:sz w:val="20"/>
          <w:szCs w:val="20"/>
        </w:rPr>
        <w:t xml:space="preserve"> recursos a l’especialització en </w:t>
      </w:r>
      <w:r w:rsidR="002470BB" w:rsidRPr="004E038A">
        <w:rPr>
          <w:rFonts w:ascii="Arial" w:hAnsi="Arial" w:cs="Arial"/>
          <w:color w:val="000361"/>
          <w:sz w:val="20"/>
          <w:szCs w:val="20"/>
        </w:rPr>
        <w:t>P</w:t>
      </w:r>
      <w:r w:rsidR="004A5B6A" w:rsidRPr="004E038A">
        <w:rPr>
          <w:rFonts w:ascii="Arial" w:hAnsi="Arial" w:cs="Arial"/>
          <w:color w:val="000361"/>
          <w:sz w:val="20"/>
          <w:szCs w:val="20"/>
        </w:rPr>
        <w:t>revenció</w:t>
      </w:r>
      <w:r w:rsidR="002470BB" w:rsidRPr="004E038A">
        <w:rPr>
          <w:rFonts w:ascii="Arial" w:hAnsi="Arial" w:cs="Arial"/>
          <w:color w:val="000361"/>
          <w:sz w:val="20"/>
          <w:szCs w:val="20"/>
        </w:rPr>
        <w:t xml:space="preserve"> de la Salut Animal per mitjà de </w:t>
      </w:r>
      <w:r w:rsidR="001A1E54">
        <w:rPr>
          <w:rFonts w:ascii="Arial" w:hAnsi="Arial" w:cs="Arial"/>
          <w:color w:val="000361"/>
          <w:sz w:val="20"/>
          <w:szCs w:val="20"/>
        </w:rPr>
        <w:t>vaccins</w:t>
      </w:r>
      <w:r w:rsidR="002470BB" w:rsidRPr="004E038A">
        <w:rPr>
          <w:rFonts w:ascii="Arial" w:hAnsi="Arial" w:cs="Arial"/>
          <w:color w:val="000361"/>
          <w:sz w:val="20"/>
          <w:szCs w:val="20"/>
        </w:rPr>
        <w:t xml:space="preserve"> i elements de diagnòstic. Aquell 2008-2009, </w:t>
      </w:r>
      <w:r w:rsidR="000F5648">
        <w:rPr>
          <w:rFonts w:ascii="Arial" w:hAnsi="Arial" w:cs="Arial"/>
          <w:color w:val="000361"/>
          <w:sz w:val="20"/>
          <w:szCs w:val="20"/>
        </w:rPr>
        <w:t>el risc d’una davallada d’ingressos</w:t>
      </w:r>
      <w:r w:rsidR="002470BB" w:rsidRPr="004E038A">
        <w:rPr>
          <w:rFonts w:ascii="Arial" w:hAnsi="Arial" w:cs="Arial"/>
          <w:color w:val="000361"/>
          <w:sz w:val="20"/>
          <w:szCs w:val="20"/>
        </w:rPr>
        <w:t xml:space="preserve"> </w:t>
      </w:r>
      <w:r w:rsidR="000F5648">
        <w:rPr>
          <w:rFonts w:ascii="Arial" w:hAnsi="Arial" w:cs="Arial"/>
          <w:color w:val="000361"/>
          <w:sz w:val="20"/>
          <w:szCs w:val="20"/>
        </w:rPr>
        <w:t>era important</w:t>
      </w:r>
      <w:r w:rsidR="002470BB" w:rsidRPr="004E038A">
        <w:rPr>
          <w:rFonts w:ascii="Arial" w:hAnsi="Arial" w:cs="Arial"/>
          <w:color w:val="000361"/>
          <w:sz w:val="20"/>
          <w:szCs w:val="20"/>
        </w:rPr>
        <w:t xml:space="preserve"> però des de llavors any </w:t>
      </w:r>
      <w:r w:rsidR="006E5C3E" w:rsidRPr="004E038A">
        <w:rPr>
          <w:rFonts w:ascii="Arial" w:hAnsi="Arial" w:cs="Arial"/>
          <w:color w:val="000361"/>
          <w:sz w:val="20"/>
          <w:szCs w:val="20"/>
        </w:rPr>
        <w:t>rere</w:t>
      </w:r>
      <w:r w:rsidR="002470BB" w:rsidRPr="004E038A">
        <w:rPr>
          <w:rFonts w:ascii="Arial" w:hAnsi="Arial" w:cs="Arial"/>
          <w:color w:val="000361"/>
          <w:sz w:val="20"/>
          <w:szCs w:val="20"/>
        </w:rPr>
        <w:t xml:space="preserve"> any han crescut les xifres de negoci i actualment han esdevingut una empresa referent del sector a nivell mundial ocupant la 15ª posició en volum de vendes.</w:t>
      </w:r>
      <w:r w:rsidR="004A5B6A" w:rsidRPr="004E038A">
        <w:rPr>
          <w:rFonts w:ascii="Arial" w:hAnsi="Arial" w:cs="Arial"/>
          <w:color w:val="000361"/>
          <w:sz w:val="20"/>
          <w:szCs w:val="20"/>
        </w:rPr>
        <w:t xml:space="preserve"> </w:t>
      </w:r>
      <w:r w:rsidR="00534B9F" w:rsidRPr="004E038A">
        <w:rPr>
          <w:rFonts w:ascii="Arial" w:hAnsi="Arial" w:cs="Arial"/>
          <w:color w:val="000361"/>
          <w:sz w:val="20"/>
          <w:szCs w:val="20"/>
        </w:rPr>
        <w:t xml:space="preserve">La visió de l’empresa és ser el Referent en Prevenció </w:t>
      </w:r>
      <w:r w:rsidR="0082209C" w:rsidRPr="004E038A">
        <w:rPr>
          <w:rFonts w:ascii="Arial" w:hAnsi="Arial" w:cs="Arial"/>
          <w:color w:val="000361"/>
          <w:sz w:val="20"/>
          <w:szCs w:val="20"/>
        </w:rPr>
        <w:t>de</w:t>
      </w:r>
      <w:r w:rsidR="00534B9F" w:rsidRPr="004E038A">
        <w:rPr>
          <w:rFonts w:ascii="Arial" w:hAnsi="Arial" w:cs="Arial"/>
          <w:color w:val="000361"/>
          <w:sz w:val="20"/>
          <w:szCs w:val="20"/>
        </w:rPr>
        <w:t xml:space="preserve"> Salut Animal</w:t>
      </w:r>
      <w:r w:rsidR="002470BB" w:rsidRPr="004E038A">
        <w:rPr>
          <w:rFonts w:ascii="Arial" w:hAnsi="Arial" w:cs="Arial"/>
          <w:color w:val="000361"/>
          <w:sz w:val="20"/>
          <w:szCs w:val="20"/>
        </w:rPr>
        <w:t>.</w:t>
      </w:r>
      <w:r w:rsidRPr="004E038A">
        <w:rPr>
          <w:rFonts w:ascii="Arial" w:hAnsi="Arial" w:cs="Arial"/>
          <w:color w:val="000361"/>
          <w:sz w:val="20"/>
          <w:szCs w:val="20"/>
        </w:rPr>
        <w:t xml:space="preserve"> Un èxit fonamentat en l’experiència, el know-how, la investigació i les innovacions tecnològiques</w:t>
      </w:r>
      <w:r w:rsidR="00685960" w:rsidRPr="004E038A">
        <w:rPr>
          <w:rFonts w:ascii="Arial" w:hAnsi="Arial" w:cs="Arial"/>
          <w:color w:val="000361"/>
          <w:sz w:val="20"/>
          <w:szCs w:val="20"/>
        </w:rPr>
        <w:t>.</w:t>
      </w:r>
    </w:p>
    <w:p w:rsidR="00685960" w:rsidRPr="004E038A" w:rsidRDefault="00685960" w:rsidP="006A00F7">
      <w:pPr>
        <w:pStyle w:val="Prrafodelista"/>
        <w:ind w:left="0"/>
        <w:jc w:val="both"/>
        <w:rPr>
          <w:rFonts w:ascii="Arial" w:hAnsi="Arial" w:cs="Arial"/>
          <w:color w:val="000361"/>
          <w:sz w:val="20"/>
          <w:szCs w:val="20"/>
        </w:rPr>
      </w:pPr>
    </w:p>
    <w:p w:rsidR="00685960" w:rsidRPr="004E038A" w:rsidRDefault="00685960" w:rsidP="006A00F7">
      <w:pPr>
        <w:pStyle w:val="Prrafodelista"/>
        <w:ind w:left="0"/>
        <w:jc w:val="both"/>
        <w:rPr>
          <w:rFonts w:ascii="Arial" w:hAnsi="Arial" w:cs="Arial"/>
          <w:color w:val="000361"/>
          <w:sz w:val="20"/>
          <w:szCs w:val="20"/>
        </w:rPr>
      </w:pPr>
      <w:r w:rsidRPr="004E038A">
        <w:rPr>
          <w:rFonts w:ascii="Arial" w:hAnsi="Arial" w:cs="Arial"/>
          <w:color w:val="000361"/>
          <w:sz w:val="20"/>
          <w:szCs w:val="20"/>
        </w:rPr>
        <w:t xml:space="preserve">Com a dades interessants respecte el posicionament de l’empresa, el mercat mundial de Salut Animal ha crescut un 3-5% anual els últims anys i el dels biològics un 5-8% anual. Les vendes de biològics en Salut Animal mundial representava un 26% el 2015 </w:t>
      </w:r>
      <w:r w:rsidR="00980A75" w:rsidRPr="004E038A">
        <w:rPr>
          <w:rFonts w:ascii="Arial" w:hAnsi="Arial" w:cs="Arial"/>
          <w:color w:val="000361"/>
          <w:sz w:val="20"/>
          <w:szCs w:val="20"/>
        </w:rPr>
        <w:t>i el 2019 un 28% del mercat. Les vendes de H</w:t>
      </w:r>
      <w:r w:rsidR="00D51D8D">
        <w:rPr>
          <w:rFonts w:ascii="Arial" w:hAnsi="Arial" w:cs="Arial"/>
          <w:color w:val="000361"/>
          <w:sz w:val="20"/>
          <w:szCs w:val="20"/>
        </w:rPr>
        <w:t>ipra</w:t>
      </w:r>
      <w:r w:rsidR="00980A75" w:rsidRPr="004E038A">
        <w:rPr>
          <w:rFonts w:ascii="Arial" w:hAnsi="Arial" w:cs="Arial"/>
          <w:color w:val="000361"/>
          <w:sz w:val="20"/>
          <w:szCs w:val="20"/>
        </w:rPr>
        <w:t xml:space="preserve"> en biològics durant aquest </w:t>
      </w:r>
      <w:r w:rsidR="006E5C3E" w:rsidRPr="004E038A">
        <w:rPr>
          <w:rFonts w:ascii="Arial" w:hAnsi="Arial" w:cs="Arial"/>
          <w:color w:val="000361"/>
          <w:sz w:val="20"/>
          <w:szCs w:val="20"/>
        </w:rPr>
        <w:t>període</w:t>
      </w:r>
      <w:r w:rsidR="00980A75" w:rsidRPr="004E038A">
        <w:rPr>
          <w:rFonts w:ascii="Arial" w:hAnsi="Arial" w:cs="Arial"/>
          <w:color w:val="000361"/>
          <w:sz w:val="20"/>
          <w:szCs w:val="20"/>
        </w:rPr>
        <w:t xml:space="preserve"> comprès entre 2014 i 2019 ha passat de representar del 65% al 84% del total de facturació fent evident que està adquirint un major grau d’especialització i adquirint </w:t>
      </w:r>
      <w:r w:rsidR="0040185D">
        <w:rPr>
          <w:rFonts w:ascii="Arial" w:hAnsi="Arial" w:cs="Arial"/>
          <w:color w:val="000361"/>
          <w:sz w:val="20"/>
          <w:szCs w:val="20"/>
        </w:rPr>
        <w:t xml:space="preserve">una </w:t>
      </w:r>
      <w:r w:rsidR="00980A75" w:rsidRPr="004E038A">
        <w:rPr>
          <w:rFonts w:ascii="Arial" w:hAnsi="Arial" w:cs="Arial"/>
          <w:color w:val="000361"/>
          <w:sz w:val="20"/>
          <w:szCs w:val="20"/>
        </w:rPr>
        <w:t>major quota dins nínxol de mercat on desenvolupa la seva principal activitat.</w:t>
      </w:r>
    </w:p>
    <w:p w:rsidR="00980A75" w:rsidRPr="004E038A" w:rsidRDefault="00980A75" w:rsidP="006A00F7">
      <w:pPr>
        <w:pStyle w:val="Prrafodelista"/>
        <w:ind w:left="0"/>
        <w:jc w:val="both"/>
        <w:rPr>
          <w:rFonts w:ascii="Arial" w:hAnsi="Arial" w:cs="Arial"/>
          <w:color w:val="000361"/>
          <w:sz w:val="20"/>
          <w:szCs w:val="20"/>
        </w:rPr>
      </w:pPr>
    </w:p>
    <w:p w:rsidR="00980A75" w:rsidRPr="004E038A" w:rsidRDefault="00EA3EF1" w:rsidP="006A00F7">
      <w:pPr>
        <w:pStyle w:val="Prrafodelista"/>
        <w:ind w:left="0"/>
        <w:jc w:val="both"/>
        <w:rPr>
          <w:rFonts w:ascii="Arial" w:hAnsi="Arial" w:cs="Arial"/>
          <w:color w:val="000361"/>
          <w:sz w:val="20"/>
          <w:szCs w:val="20"/>
        </w:rPr>
      </w:pPr>
      <w:r w:rsidRPr="004E038A">
        <w:rPr>
          <w:rFonts w:ascii="Arial" w:hAnsi="Arial" w:cs="Arial"/>
          <w:color w:val="000361"/>
          <w:sz w:val="20"/>
          <w:szCs w:val="20"/>
        </w:rPr>
        <w:t>Al mercat mundial</w:t>
      </w:r>
      <w:r w:rsidR="00FA4CE4" w:rsidRPr="004E038A">
        <w:rPr>
          <w:rFonts w:ascii="Arial" w:hAnsi="Arial" w:cs="Arial"/>
          <w:color w:val="000361"/>
          <w:sz w:val="20"/>
          <w:szCs w:val="20"/>
        </w:rPr>
        <w:t xml:space="preserve"> els últims anys s’han anat </w:t>
      </w:r>
      <w:r w:rsidR="006E5C3E" w:rsidRPr="004E038A">
        <w:rPr>
          <w:rFonts w:ascii="Arial" w:hAnsi="Arial" w:cs="Arial"/>
          <w:color w:val="000361"/>
          <w:sz w:val="20"/>
          <w:szCs w:val="20"/>
        </w:rPr>
        <w:t>succeint</w:t>
      </w:r>
      <w:r w:rsidR="00FA4CE4" w:rsidRPr="004E038A">
        <w:rPr>
          <w:rFonts w:ascii="Arial" w:hAnsi="Arial" w:cs="Arial"/>
          <w:color w:val="000361"/>
          <w:sz w:val="20"/>
          <w:szCs w:val="20"/>
        </w:rPr>
        <w:t xml:space="preserve"> operacions de fusió i absorcions, el què fa que  cada vegada</w:t>
      </w:r>
      <w:r w:rsidRPr="004E038A">
        <w:rPr>
          <w:rFonts w:ascii="Arial" w:hAnsi="Arial" w:cs="Arial"/>
          <w:color w:val="000361"/>
          <w:sz w:val="20"/>
          <w:szCs w:val="20"/>
        </w:rPr>
        <w:t xml:space="preserve"> hi ha </w:t>
      </w:r>
      <w:r w:rsidR="00FA4CE4" w:rsidRPr="004E038A">
        <w:rPr>
          <w:rFonts w:ascii="Arial" w:hAnsi="Arial" w:cs="Arial"/>
          <w:color w:val="000361"/>
          <w:sz w:val="20"/>
          <w:szCs w:val="20"/>
        </w:rPr>
        <w:t>menys</w:t>
      </w:r>
      <w:r w:rsidRPr="004E038A">
        <w:rPr>
          <w:rFonts w:ascii="Arial" w:hAnsi="Arial" w:cs="Arial"/>
          <w:color w:val="000361"/>
          <w:sz w:val="20"/>
          <w:szCs w:val="20"/>
        </w:rPr>
        <w:t xml:space="preserve"> productors</w:t>
      </w:r>
      <w:r w:rsidR="00FA4CE4" w:rsidRPr="004E038A">
        <w:rPr>
          <w:rFonts w:ascii="Arial" w:hAnsi="Arial" w:cs="Arial"/>
          <w:color w:val="000361"/>
          <w:sz w:val="20"/>
          <w:szCs w:val="20"/>
        </w:rPr>
        <w:t xml:space="preserve"> però més grans i amb més pes específic en el mercat. L</w:t>
      </w:r>
      <w:r w:rsidR="004046BF" w:rsidRPr="004E038A">
        <w:rPr>
          <w:rFonts w:ascii="Arial" w:hAnsi="Arial" w:cs="Arial"/>
          <w:color w:val="000361"/>
          <w:sz w:val="20"/>
          <w:szCs w:val="20"/>
        </w:rPr>
        <w:t xml:space="preserve">’aparició de nous competidors és poc probable perquè les barreres d’entrada són molt altes, cal molta experiència, expertesa, i una tecnologia de difícil accés. </w:t>
      </w:r>
      <w:r w:rsidR="006E5C3E" w:rsidRPr="004E038A">
        <w:rPr>
          <w:rFonts w:ascii="Arial" w:hAnsi="Arial" w:cs="Arial"/>
          <w:color w:val="000361"/>
          <w:sz w:val="20"/>
          <w:szCs w:val="20"/>
        </w:rPr>
        <w:t>El perfil de les empreses que lideren el mercat generalment són multinacionals farmacèutiques que cotitzen als principals mercats b</w:t>
      </w:r>
      <w:r w:rsidR="006E5C3E">
        <w:rPr>
          <w:rFonts w:ascii="Arial" w:hAnsi="Arial" w:cs="Arial"/>
          <w:color w:val="000361"/>
          <w:sz w:val="20"/>
          <w:szCs w:val="20"/>
        </w:rPr>
        <w:t>o</w:t>
      </w:r>
      <w:r w:rsidR="006E5C3E" w:rsidRPr="004E038A">
        <w:rPr>
          <w:rFonts w:ascii="Arial" w:hAnsi="Arial" w:cs="Arial"/>
          <w:color w:val="000361"/>
          <w:sz w:val="20"/>
          <w:szCs w:val="20"/>
        </w:rPr>
        <w:t>rsaris i intervenen en diferents mercats però que en l’àmbit de Salut Animal, a diferència de H</w:t>
      </w:r>
      <w:r w:rsidR="00D51D8D">
        <w:rPr>
          <w:rFonts w:ascii="Arial" w:hAnsi="Arial" w:cs="Arial"/>
          <w:color w:val="000361"/>
          <w:sz w:val="20"/>
          <w:szCs w:val="20"/>
        </w:rPr>
        <w:t>ipra</w:t>
      </w:r>
      <w:r w:rsidR="006E5C3E" w:rsidRPr="004E038A">
        <w:rPr>
          <w:rFonts w:ascii="Arial" w:hAnsi="Arial" w:cs="Arial"/>
          <w:color w:val="000361"/>
          <w:sz w:val="20"/>
          <w:szCs w:val="20"/>
        </w:rPr>
        <w:t xml:space="preserve">, en l’actualitat busquen créixer en el segment d’animals domèstics que els últims anys està creixent </w:t>
      </w:r>
      <w:r w:rsidR="006E5C3E">
        <w:rPr>
          <w:rFonts w:ascii="Arial" w:hAnsi="Arial" w:cs="Arial"/>
          <w:color w:val="000361"/>
          <w:sz w:val="20"/>
          <w:szCs w:val="20"/>
        </w:rPr>
        <w:t>més</w:t>
      </w:r>
      <w:r w:rsidR="006E5C3E" w:rsidRPr="004E038A">
        <w:rPr>
          <w:rFonts w:ascii="Arial" w:hAnsi="Arial" w:cs="Arial"/>
          <w:color w:val="000361"/>
          <w:sz w:val="20"/>
          <w:szCs w:val="20"/>
        </w:rPr>
        <w:t xml:space="preserve"> que el segment d’animals de producció.  </w:t>
      </w:r>
    </w:p>
    <w:p w:rsidR="00534B9F" w:rsidRPr="004E038A" w:rsidRDefault="00534B9F" w:rsidP="006A00F7">
      <w:pPr>
        <w:pStyle w:val="Prrafodelista"/>
        <w:ind w:left="0"/>
        <w:jc w:val="both"/>
        <w:rPr>
          <w:rFonts w:ascii="Arial" w:hAnsi="Arial" w:cs="Arial"/>
          <w:color w:val="000361"/>
          <w:sz w:val="20"/>
          <w:szCs w:val="20"/>
        </w:rPr>
      </w:pPr>
    </w:p>
    <w:p w:rsidR="00826E7D" w:rsidRPr="004E038A" w:rsidRDefault="00826E7D" w:rsidP="006A00F7">
      <w:pPr>
        <w:pStyle w:val="Prrafodelista"/>
        <w:ind w:left="0"/>
        <w:jc w:val="both"/>
        <w:rPr>
          <w:rFonts w:ascii="Arial" w:hAnsi="Arial" w:cs="Arial"/>
          <w:b/>
          <w:color w:val="000361"/>
          <w:sz w:val="20"/>
          <w:szCs w:val="20"/>
        </w:rPr>
      </w:pPr>
    </w:p>
    <w:p w:rsidR="006A00F7" w:rsidRPr="004E038A" w:rsidRDefault="006A00F7" w:rsidP="006A00F7">
      <w:pPr>
        <w:pStyle w:val="Prrafodelista"/>
        <w:jc w:val="both"/>
        <w:rPr>
          <w:rFonts w:ascii="Arial" w:hAnsi="Arial" w:cs="Arial"/>
          <w:b/>
          <w:color w:val="000361"/>
          <w:sz w:val="20"/>
          <w:szCs w:val="20"/>
        </w:rPr>
      </w:pPr>
    </w:p>
    <w:p w:rsidR="00BB40E4" w:rsidRPr="004E038A" w:rsidRDefault="00BB40E4" w:rsidP="00BB40E4">
      <w:pPr>
        <w:ind w:left="360"/>
        <w:jc w:val="both"/>
        <w:rPr>
          <w:rFonts w:ascii="Arial" w:hAnsi="Arial" w:cs="Arial"/>
          <w:b/>
          <w:color w:val="000361"/>
          <w:sz w:val="20"/>
          <w:szCs w:val="20"/>
          <w:highlight w:val="lightGray"/>
        </w:rPr>
      </w:pPr>
      <w:r w:rsidRPr="004E038A">
        <w:rPr>
          <w:rFonts w:ascii="Arial" w:hAnsi="Arial" w:cs="Arial"/>
          <w:b/>
          <w:color w:val="000361"/>
          <w:sz w:val="20"/>
          <w:szCs w:val="20"/>
          <w:highlight w:val="lightGray"/>
        </w:rPr>
        <w:br w:type="page"/>
      </w:r>
    </w:p>
    <w:p w:rsidR="006A00F7" w:rsidRPr="009A0474" w:rsidRDefault="006A00F7" w:rsidP="002D48FA">
      <w:pPr>
        <w:pStyle w:val="Prrafodelista"/>
        <w:numPr>
          <w:ilvl w:val="1"/>
          <w:numId w:val="10"/>
        </w:numPr>
        <w:ind w:left="0" w:firstLine="0"/>
        <w:jc w:val="both"/>
        <w:rPr>
          <w:rFonts w:ascii="Arial" w:hAnsi="Arial" w:cs="Arial"/>
          <w:b/>
          <w:color w:val="000361"/>
        </w:rPr>
      </w:pPr>
      <w:r w:rsidRPr="009A0474">
        <w:rPr>
          <w:rFonts w:ascii="Arial" w:hAnsi="Arial" w:cs="Arial"/>
          <w:b/>
          <w:color w:val="000361"/>
        </w:rPr>
        <w:lastRenderedPageBreak/>
        <w:t>Anàlisi estratègic</w:t>
      </w:r>
    </w:p>
    <w:p w:rsidR="006A00F7" w:rsidRPr="004E038A" w:rsidRDefault="006A00F7" w:rsidP="006A00F7">
      <w:pPr>
        <w:pStyle w:val="Prrafodelista"/>
        <w:ind w:left="0"/>
        <w:rPr>
          <w:rFonts w:ascii="Arial" w:hAnsi="Arial" w:cs="Arial"/>
          <w:b/>
          <w:color w:val="000361"/>
          <w:sz w:val="20"/>
          <w:szCs w:val="20"/>
        </w:rPr>
      </w:pPr>
    </w:p>
    <w:p w:rsidR="00190CAD" w:rsidRPr="004E038A" w:rsidRDefault="0046684E" w:rsidP="005E2448">
      <w:pPr>
        <w:pStyle w:val="Prrafodelista"/>
        <w:ind w:left="0"/>
        <w:jc w:val="both"/>
        <w:rPr>
          <w:rFonts w:ascii="Arial" w:hAnsi="Arial" w:cs="Arial"/>
          <w:color w:val="000361"/>
          <w:sz w:val="20"/>
          <w:szCs w:val="20"/>
        </w:rPr>
      </w:pPr>
      <w:r w:rsidRPr="004E038A">
        <w:rPr>
          <w:rFonts w:ascii="Arial" w:hAnsi="Arial" w:cs="Arial"/>
          <w:color w:val="000361"/>
          <w:sz w:val="20"/>
          <w:szCs w:val="20"/>
        </w:rPr>
        <w:t xml:space="preserve">La visió estratègica del negoci </w:t>
      </w:r>
      <w:r w:rsidR="00D96498" w:rsidRPr="004E038A">
        <w:rPr>
          <w:rFonts w:ascii="Arial" w:hAnsi="Arial" w:cs="Arial"/>
          <w:color w:val="000361"/>
          <w:sz w:val="20"/>
          <w:szCs w:val="20"/>
        </w:rPr>
        <w:t>és</w:t>
      </w:r>
      <w:r w:rsidRPr="004E038A">
        <w:rPr>
          <w:rFonts w:ascii="Arial" w:hAnsi="Arial" w:cs="Arial"/>
          <w:color w:val="000361"/>
          <w:sz w:val="20"/>
          <w:szCs w:val="20"/>
        </w:rPr>
        <w:t xml:space="preserve"> </w:t>
      </w:r>
      <w:r w:rsidR="00D96498" w:rsidRPr="004E038A">
        <w:rPr>
          <w:rFonts w:ascii="Arial" w:hAnsi="Arial" w:cs="Arial"/>
          <w:color w:val="000361"/>
          <w:sz w:val="20"/>
          <w:szCs w:val="20"/>
        </w:rPr>
        <w:t>esdevenir</w:t>
      </w:r>
      <w:r w:rsidRPr="004E038A">
        <w:rPr>
          <w:rFonts w:ascii="Arial" w:hAnsi="Arial" w:cs="Arial"/>
          <w:color w:val="000361"/>
          <w:sz w:val="20"/>
          <w:szCs w:val="20"/>
        </w:rPr>
        <w:t xml:space="preserve"> </w:t>
      </w:r>
      <w:r w:rsidR="00D96498" w:rsidRPr="004E038A">
        <w:rPr>
          <w:rFonts w:ascii="Arial" w:hAnsi="Arial" w:cs="Arial"/>
          <w:color w:val="000361"/>
          <w:sz w:val="20"/>
          <w:szCs w:val="20"/>
        </w:rPr>
        <w:t>R</w:t>
      </w:r>
      <w:r w:rsidRPr="004E038A">
        <w:rPr>
          <w:rFonts w:ascii="Arial" w:hAnsi="Arial" w:cs="Arial"/>
          <w:color w:val="000361"/>
          <w:sz w:val="20"/>
          <w:szCs w:val="20"/>
        </w:rPr>
        <w:t xml:space="preserve">eferent en </w:t>
      </w:r>
      <w:r w:rsidR="00D96498" w:rsidRPr="004E038A">
        <w:rPr>
          <w:rFonts w:ascii="Arial" w:hAnsi="Arial" w:cs="Arial"/>
          <w:color w:val="000361"/>
          <w:sz w:val="20"/>
          <w:szCs w:val="20"/>
        </w:rPr>
        <w:t xml:space="preserve">el mercat de </w:t>
      </w:r>
      <w:r w:rsidRPr="004E038A">
        <w:rPr>
          <w:rFonts w:ascii="Arial" w:hAnsi="Arial" w:cs="Arial"/>
          <w:color w:val="000361"/>
          <w:sz w:val="20"/>
          <w:szCs w:val="20"/>
        </w:rPr>
        <w:t>Prevenció de la Salut Animal</w:t>
      </w:r>
      <w:r w:rsidR="00D96498" w:rsidRPr="004E038A">
        <w:rPr>
          <w:rFonts w:ascii="Arial" w:hAnsi="Arial" w:cs="Arial"/>
          <w:color w:val="000361"/>
          <w:sz w:val="20"/>
          <w:szCs w:val="20"/>
        </w:rPr>
        <w:t>.</w:t>
      </w:r>
      <w:r w:rsidRPr="004E038A">
        <w:rPr>
          <w:rFonts w:ascii="Arial" w:hAnsi="Arial" w:cs="Arial"/>
          <w:color w:val="000361"/>
          <w:sz w:val="20"/>
          <w:szCs w:val="20"/>
        </w:rPr>
        <w:t xml:space="preserve"> </w:t>
      </w:r>
      <w:r w:rsidR="00D96498" w:rsidRPr="004E038A">
        <w:rPr>
          <w:rFonts w:ascii="Arial" w:hAnsi="Arial" w:cs="Arial"/>
          <w:color w:val="000361"/>
          <w:sz w:val="20"/>
          <w:szCs w:val="20"/>
        </w:rPr>
        <w:t xml:space="preserve">Aquest procés </w:t>
      </w:r>
      <w:r w:rsidRPr="004E038A">
        <w:rPr>
          <w:rFonts w:ascii="Arial" w:hAnsi="Arial" w:cs="Arial"/>
          <w:color w:val="000361"/>
          <w:sz w:val="20"/>
          <w:szCs w:val="20"/>
        </w:rPr>
        <w:t xml:space="preserve">s’inicià el 2008 focalitzant el negoci amb productes </w:t>
      </w:r>
      <w:r w:rsidR="006E5C3E" w:rsidRPr="004E038A">
        <w:rPr>
          <w:rFonts w:ascii="Arial" w:hAnsi="Arial" w:cs="Arial"/>
          <w:color w:val="000361"/>
          <w:sz w:val="20"/>
          <w:szCs w:val="20"/>
        </w:rPr>
        <w:t>biològics</w:t>
      </w:r>
      <w:r w:rsidR="00597C66" w:rsidRPr="004E038A">
        <w:rPr>
          <w:rFonts w:ascii="Arial" w:hAnsi="Arial" w:cs="Arial"/>
          <w:color w:val="000361"/>
          <w:sz w:val="20"/>
          <w:szCs w:val="20"/>
        </w:rPr>
        <w:t xml:space="preserve"> (</w:t>
      </w:r>
      <w:r w:rsidR="001A1E54">
        <w:rPr>
          <w:rFonts w:ascii="Arial" w:hAnsi="Arial" w:cs="Arial"/>
          <w:color w:val="000361"/>
          <w:sz w:val="20"/>
          <w:szCs w:val="20"/>
        </w:rPr>
        <w:t>vaccins</w:t>
      </w:r>
      <w:r w:rsidR="00597C66" w:rsidRPr="004E038A">
        <w:rPr>
          <w:rFonts w:ascii="Arial" w:hAnsi="Arial" w:cs="Arial"/>
          <w:color w:val="000361"/>
          <w:sz w:val="20"/>
          <w:szCs w:val="20"/>
        </w:rPr>
        <w:t xml:space="preserve"> i diagnòstic), deixant a banda productes tals com medicaments i antibiòtics que fins llavors representaven pràcticament la meitat de l’import de les vendes.</w:t>
      </w:r>
      <w:r w:rsidR="00190CAD" w:rsidRPr="004E038A">
        <w:rPr>
          <w:rFonts w:ascii="Arial" w:hAnsi="Arial" w:cs="Arial"/>
          <w:color w:val="000361"/>
          <w:sz w:val="20"/>
          <w:szCs w:val="20"/>
        </w:rPr>
        <w:t xml:space="preserve"> La decisió estratègica presa anava lligada a la previsió d’una disminució de vendes de medicaments i antibiòtics pels següents motius:</w:t>
      </w:r>
    </w:p>
    <w:p w:rsidR="00190CAD" w:rsidRPr="004E038A" w:rsidRDefault="00190CAD" w:rsidP="005E2448">
      <w:pPr>
        <w:pStyle w:val="Prrafodelista"/>
        <w:ind w:left="0"/>
        <w:jc w:val="both"/>
        <w:rPr>
          <w:rFonts w:ascii="Arial" w:hAnsi="Arial" w:cs="Arial"/>
          <w:color w:val="000361"/>
          <w:sz w:val="20"/>
          <w:szCs w:val="20"/>
        </w:rPr>
      </w:pPr>
    </w:p>
    <w:p w:rsidR="00190CAD" w:rsidRPr="004E038A" w:rsidRDefault="00190CAD" w:rsidP="005E2448">
      <w:pPr>
        <w:pStyle w:val="Prrafodelista"/>
        <w:ind w:left="0"/>
        <w:jc w:val="both"/>
        <w:rPr>
          <w:rFonts w:ascii="Arial" w:hAnsi="Arial" w:cs="Arial"/>
          <w:color w:val="000361"/>
          <w:sz w:val="20"/>
          <w:szCs w:val="20"/>
        </w:rPr>
      </w:pPr>
      <w:r w:rsidRPr="004E038A">
        <w:rPr>
          <w:rFonts w:ascii="Arial" w:hAnsi="Arial" w:cs="Arial"/>
          <w:color w:val="000361"/>
          <w:sz w:val="20"/>
          <w:szCs w:val="20"/>
        </w:rPr>
        <w:t>- molts països estaven aplicant lleis que prohibien una pràctica poc ètica però molt habitual entre els productors de bestiar que consistia en administrar antibiòtics de manera abusiva als animals per afavorir el seu creixement.</w:t>
      </w:r>
    </w:p>
    <w:p w:rsidR="00190CAD" w:rsidRPr="004E038A" w:rsidRDefault="00190CAD" w:rsidP="005E2448">
      <w:pPr>
        <w:pStyle w:val="Prrafodelista"/>
        <w:ind w:left="0"/>
        <w:jc w:val="both"/>
        <w:rPr>
          <w:rFonts w:ascii="Arial" w:hAnsi="Arial" w:cs="Arial"/>
          <w:color w:val="000361"/>
          <w:sz w:val="20"/>
          <w:szCs w:val="20"/>
        </w:rPr>
      </w:pPr>
    </w:p>
    <w:p w:rsidR="00190CAD" w:rsidRPr="004E038A" w:rsidRDefault="00190CAD" w:rsidP="005E2448">
      <w:pPr>
        <w:pStyle w:val="Prrafodelista"/>
        <w:ind w:left="0"/>
        <w:jc w:val="both"/>
        <w:rPr>
          <w:rFonts w:ascii="Arial" w:hAnsi="Arial" w:cs="Arial"/>
          <w:color w:val="000361"/>
          <w:sz w:val="20"/>
          <w:szCs w:val="20"/>
        </w:rPr>
      </w:pPr>
      <w:r w:rsidRPr="004E038A">
        <w:rPr>
          <w:rFonts w:ascii="Arial" w:hAnsi="Arial" w:cs="Arial"/>
          <w:color w:val="000361"/>
          <w:sz w:val="20"/>
          <w:szCs w:val="20"/>
        </w:rPr>
        <w:t xml:space="preserve">- </w:t>
      </w:r>
      <w:r w:rsidR="00BB40E4" w:rsidRPr="004E038A">
        <w:rPr>
          <w:rFonts w:ascii="Arial" w:hAnsi="Arial" w:cs="Arial"/>
          <w:color w:val="000361"/>
          <w:sz w:val="20"/>
          <w:szCs w:val="20"/>
        </w:rPr>
        <w:t xml:space="preserve">El mercat </w:t>
      </w:r>
      <w:r w:rsidR="00E53981" w:rsidRPr="004E038A">
        <w:rPr>
          <w:rFonts w:ascii="Arial" w:hAnsi="Arial" w:cs="Arial"/>
          <w:color w:val="000361"/>
          <w:sz w:val="20"/>
          <w:szCs w:val="20"/>
        </w:rPr>
        <w:t>d’aliments d’origen animal és més exigent en termes de qualitat</w:t>
      </w:r>
      <w:r w:rsidR="00BB40E4" w:rsidRPr="004E038A">
        <w:rPr>
          <w:rFonts w:ascii="Arial" w:hAnsi="Arial" w:cs="Arial"/>
          <w:color w:val="000361"/>
          <w:sz w:val="20"/>
          <w:szCs w:val="20"/>
        </w:rPr>
        <w:t xml:space="preserve"> </w:t>
      </w:r>
      <w:r w:rsidR="00E53981" w:rsidRPr="004E038A">
        <w:rPr>
          <w:rFonts w:ascii="Arial" w:hAnsi="Arial" w:cs="Arial"/>
          <w:color w:val="000361"/>
          <w:sz w:val="20"/>
          <w:szCs w:val="20"/>
        </w:rPr>
        <w:t xml:space="preserve">pressionant cap a una producció </w:t>
      </w:r>
      <w:r w:rsidR="00BB40E4" w:rsidRPr="004E038A">
        <w:rPr>
          <w:rFonts w:ascii="Arial" w:hAnsi="Arial" w:cs="Arial"/>
          <w:color w:val="000361"/>
          <w:sz w:val="20"/>
          <w:szCs w:val="20"/>
        </w:rPr>
        <w:t xml:space="preserve">lliure </w:t>
      </w:r>
      <w:r w:rsidR="006E5C3E" w:rsidRPr="004E038A">
        <w:rPr>
          <w:rFonts w:ascii="Arial" w:hAnsi="Arial" w:cs="Arial"/>
          <w:color w:val="000361"/>
          <w:sz w:val="20"/>
          <w:szCs w:val="20"/>
        </w:rPr>
        <w:t>fàrmacs</w:t>
      </w:r>
      <w:r w:rsidR="00BB40E4" w:rsidRPr="004E038A">
        <w:rPr>
          <w:rFonts w:ascii="Arial" w:hAnsi="Arial" w:cs="Arial"/>
          <w:color w:val="000361"/>
          <w:sz w:val="20"/>
          <w:szCs w:val="20"/>
        </w:rPr>
        <w:t xml:space="preserve"> i </w:t>
      </w:r>
      <w:r w:rsidR="006E5C3E" w:rsidRPr="004E038A">
        <w:rPr>
          <w:rFonts w:ascii="Arial" w:hAnsi="Arial" w:cs="Arial"/>
          <w:color w:val="000361"/>
          <w:sz w:val="20"/>
          <w:szCs w:val="20"/>
        </w:rPr>
        <w:t>antibiòtics</w:t>
      </w:r>
      <w:r w:rsidR="00BB40E4" w:rsidRPr="004E038A">
        <w:rPr>
          <w:rFonts w:ascii="Arial" w:hAnsi="Arial" w:cs="Arial"/>
          <w:color w:val="000361"/>
          <w:sz w:val="20"/>
          <w:szCs w:val="20"/>
        </w:rPr>
        <w:t>, i la importància del benestar animal. La importància de usar aquest tipus de productes només quan sigui estrictament necessari per la salut de l’animal.</w:t>
      </w:r>
    </w:p>
    <w:p w:rsidR="00BB40E4" w:rsidRPr="004E038A" w:rsidRDefault="00BB40E4" w:rsidP="005E2448">
      <w:pPr>
        <w:pStyle w:val="Prrafodelista"/>
        <w:ind w:left="0"/>
        <w:jc w:val="both"/>
        <w:rPr>
          <w:rFonts w:ascii="Arial" w:hAnsi="Arial" w:cs="Arial"/>
          <w:color w:val="000361"/>
          <w:sz w:val="20"/>
          <w:szCs w:val="20"/>
        </w:rPr>
      </w:pPr>
    </w:p>
    <w:p w:rsidR="00BB40E4" w:rsidRPr="004E038A" w:rsidRDefault="00BB40E4" w:rsidP="005E2448">
      <w:pPr>
        <w:pStyle w:val="Prrafodelista"/>
        <w:ind w:left="0"/>
        <w:jc w:val="both"/>
        <w:rPr>
          <w:rFonts w:ascii="Arial" w:hAnsi="Arial" w:cs="Arial"/>
          <w:color w:val="000361"/>
          <w:sz w:val="20"/>
          <w:szCs w:val="20"/>
        </w:rPr>
      </w:pPr>
      <w:r w:rsidRPr="004E038A">
        <w:rPr>
          <w:rFonts w:ascii="Arial" w:hAnsi="Arial" w:cs="Arial"/>
          <w:color w:val="000361"/>
          <w:sz w:val="20"/>
          <w:szCs w:val="20"/>
        </w:rPr>
        <w:t>- Més recentment, i totalment alineat amb la visió de l’empresa</w:t>
      </w:r>
      <w:r w:rsidR="005E2448" w:rsidRPr="004E038A">
        <w:rPr>
          <w:rFonts w:ascii="Arial" w:hAnsi="Arial" w:cs="Arial"/>
          <w:color w:val="000361"/>
          <w:sz w:val="20"/>
          <w:szCs w:val="20"/>
        </w:rPr>
        <w:t xml:space="preserve">, hi ha una gran preocupació amb </w:t>
      </w:r>
      <w:r w:rsidR="00D96498" w:rsidRPr="004E038A">
        <w:rPr>
          <w:rFonts w:ascii="Arial" w:hAnsi="Arial" w:cs="Arial"/>
          <w:color w:val="000361"/>
          <w:sz w:val="20"/>
          <w:szCs w:val="20"/>
        </w:rPr>
        <w:t xml:space="preserve">els </w:t>
      </w:r>
      <w:r w:rsidR="005E2448" w:rsidRPr="004E038A">
        <w:rPr>
          <w:rFonts w:ascii="Arial" w:hAnsi="Arial" w:cs="Arial"/>
          <w:color w:val="000361"/>
          <w:sz w:val="20"/>
          <w:szCs w:val="20"/>
        </w:rPr>
        <w:t>antibiòtics perquè amb el seu ús fa que els bacteris esdevinguin més resistents</w:t>
      </w:r>
      <w:r w:rsidR="00D96498" w:rsidRPr="004E038A">
        <w:rPr>
          <w:rFonts w:ascii="Arial" w:hAnsi="Arial" w:cs="Arial"/>
          <w:color w:val="000361"/>
          <w:sz w:val="20"/>
          <w:szCs w:val="20"/>
        </w:rPr>
        <w:t>.</w:t>
      </w:r>
      <w:r w:rsidR="005E2448" w:rsidRPr="004E038A">
        <w:rPr>
          <w:rFonts w:ascii="Arial" w:hAnsi="Arial" w:cs="Arial"/>
          <w:color w:val="000361"/>
          <w:sz w:val="20"/>
          <w:szCs w:val="20"/>
        </w:rPr>
        <w:t xml:space="preserve"> </w:t>
      </w:r>
      <w:r w:rsidR="00D96498" w:rsidRPr="004E038A">
        <w:rPr>
          <w:rFonts w:ascii="Arial" w:hAnsi="Arial" w:cs="Arial"/>
          <w:color w:val="000361"/>
          <w:sz w:val="20"/>
          <w:szCs w:val="20"/>
        </w:rPr>
        <w:t>A</w:t>
      </w:r>
      <w:r w:rsidR="005E2448" w:rsidRPr="004E038A">
        <w:rPr>
          <w:rFonts w:ascii="Arial" w:hAnsi="Arial" w:cs="Arial"/>
          <w:color w:val="000361"/>
          <w:sz w:val="20"/>
          <w:szCs w:val="20"/>
        </w:rPr>
        <w:t>lguns són tant resistents que ara per ara no hi ha tractament disponible per eliminar-los. Els experts ho descriuen com una amenaça mundial.</w:t>
      </w:r>
    </w:p>
    <w:p w:rsidR="008C583E" w:rsidRPr="004E038A" w:rsidRDefault="008C583E" w:rsidP="005E2448">
      <w:pPr>
        <w:pStyle w:val="Prrafodelista"/>
        <w:ind w:left="0"/>
        <w:jc w:val="both"/>
        <w:rPr>
          <w:rFonts w:ascii="Arial" w:hAnsi="Arial" w:cs="Arial"/>
          <w:color w:val="000361"/>
          <w:sz w:val="20"/>
          <w:szCs w:val="20"/>
        </w:rPr>
      </w:pPr>
    </w:p>
    <w:p w:rsidR="008C583E" w:rsidRPr="004E038A" w:rsidRDefault="008C583E" w:rsidP="005E2448">
      <w:pPr>
        <w:pStyle w:val="Prrafodelista"/>
        <w:ind w:left="0"/>
        <w:jc w:val="both"/>
        <w:rPr>
          <w:rFonts w:ascii="Arial" w:hAnsi="Arial" w:cs="Arial"/>
          <w:color w:val="000361"/>
          <w:sz w:val="20"/>
          <w:szCs w:val="20"/>
        </w:rPr>
      </w:pPr>
      <w:r w:rsidRPr="004E038A">
        <w:rPr>
          <w:rFonts w:ascii="Arial" w:hAnsi="Arial" w:cs="Arial"/>
          <w:color w:val="000361"/>
          <w:sz w:val="20"/>
          <w:szCs w:val="20"/>
        </w:rPr>
        <w:t xml:space="preserve">Aquesta decisió tenia per objectiu aconseguir </w:t>
      </w:r>
      <w:r w:rsidR="006E5C3E" w:rsidRPr="004E038A">
        <w:rPr>
          <w:rFonts w:ascii="Arial" w:hAnsi="Arial" w:cs="Arial"/>
          <w:color w:val="000361"/>
          <w:sz w:val="20"/>
          <w:szCs w:val="20"/>
        </w:rPr>
        <w:t>avantatge</w:t>
      </w:r>
      <w:r w:rsidRPr="004E038A">
        <w:rPr>
          <w:rFonts w:ascii="Arial" w:hAnsi="Arial" w:cs="Arial"/>
          <w:color w:val="000361"/>
          <w:sz w:val="20"/>
          <w:szCs w:val="20"/>
        </w:rPr>
        <w:t xml:space="preserve"> competitiu basat en l’especialització en un nínxol de mercat</w:t>
      </w:r>
      <w:r w:rsidR="00D96498" w:rsidRPr="004E038A">
        <w:rPr>
          <w:rFonts w:ascii="Arial" w:hAnsi="Arial" w:cs="Arial"/>
          <w:color w:val="000361"/>
          <w:sz w:val="20"/>
          <w:szCs w:val="20"/>
        </w:rPr>
        <w:t xml:space="preserve"> dins la Salut Animal</w:t>
      </w:r>
      <w:r w:rsidRPr="004E038A">
        <w:rPr>
          <w:rFonts w:ascii="Arial" w:hAnsi="Arial" w:cs="Arial"/>
          <w:color w:val="000361"/>
          <w:sz w:val="20"/>
          <w:szCs w:val="20"/>
        </w:rPr>
        <w:t xml:space="preserve">, i a més, </w:t>
      </w:r>
      <w:r w:rsidR="006E5C3E" w:rsidRPr="004E038A">
        <w:rPr>
          <w:rFonts w:ascii="Arial" w:hAnsi="Arial" w:cs="Arial"/>
          <w:color w:val="000361"/>
          <w:sz w:val="20"/>
          <w:szCs w:val="20"/>
        </w:rPr>
        <w:t>tenien</w:t>
      </w:r>
      <w:r w:rsidRPr="004E038A">
        <w:rPr>
          <w:rFonts w:ascii="Arial" w:hAnsi="Arial" w:cs="Arial"/>
          <w:color w:val="000361"/>
          <w:sz w:val="20"/>
          <w:szCs w:val="20"/>
        </w:rPr>
        <w:t xml:space="preserve"> els ingredients necessaris per a fer-ho: experiència, coneixement i la tecnologia </w:t>
      </w:r>
      <w:r w:rsidR="006E5C3E" w:rsidRPr="004E038A">
        <w:rPr>
          <w:rFonts w:ascii="Arial" w:hAnsi="Arial" w:cs="Arial"/>
          <w:color w:val="000361"/>
          <w:sz w:val="20"/>
          <w:szCs w:val="20"/>
        </w:rPr>
        <w:t>necessària</w:t>
      </w:r>
      <w:r w:rsidRPr="004E038A">
        <w:rPr>
          <w:rFonts w:ascii="Arial" w:hAnsi="Arial" w:cs="Arial"/>
          <w:color w:val="000361"/>
          <w:sz w:val="20"/>
          <w:szCs w:val="20"/>
        </w:rPr>
        <w:t xml:space="preserve"> per dur-ho a terme.</w:t>
      </w:r>
    </w:p>
    <w:p w:rsidR="008C583E" w:rsidRPr="004E038A" w:rsidRDefault="008C583E" w:rsidP="005E2448">
      <w:pPr>
        <w:pStyle w:val="Prrafodelista"/>
        <w:ind w:left="0"/>
        <w:jc w:val="both"/>
        <w:rPr>
          <w:rFonts w:ascii="Arial" w:hAnsi="Arial" w:cs="Arial"/>
          <w:color w:val="000361"/>
          <w:sz w:val="20"/>
          <w:szCs w:val="20"/>
        </w:rPr>
      </w:pPr>
    </w:p>
    <w:p w:rsidR="008C583E" w:rsidRPr="004E038A" w:rsidRDefault="00D96498" w:rsidP="005E2448">
      <w:pPr>
        <w:pStyle w:val="Prrafodelista"/>
        <w:ind w:left="0"/>
        <w:jc w:val="both"/>
        <w:rPr>
          <w:rFonts w:ascii="Arial" w:hAnsi="Arial" w:cs="Arial"/>
          <w:color w:val="000361"/>
          <w:sz w:val="20"/>
          <w:szCs w:val="20"/>
        </w:rPr>
      </w:pPr>
      <w:r w:rsidRPr="004E038A">
        <w:rPr>
          <w:rFonts w:ascii="Arial" w:hAnsi="Arial" w:cs="Arial"/>
          <w:color w:val="000361"/>
          <w:sz w:val="20"/>
          <w:szCs w:val="20"/>
        </w:rPr>
        <w:t>10 anys després,</w:t>
      </w:r>
      <w:r w:rsidR="004E638A" w:rsidRPr="004E038A">
        <w:rPr>
          <w:rFonts w:ascii="Arial" w:hAnsi="Arial" w:cs="Arial"/>
          <w:color w:val="000361"/>
          <w:sz w:val="20"/>
          <w:szCs w:val="20"/>
        </w:rPr>
        <w:t xml:space="preserve"> l’estratègia de l’empresa segueix vigent</w:t>
      </w:r>
      <w:r w:rsidRPr="004E038A">
        <w:rPr>
          <w:rFonts w:ascii="Arial" w:hAnsi="Arial" w:cs="Arial"/>
          <w:color w:val="000361"/>
          <w:sz w:val="20"/>
          <w:szCs w:val="20"/>
        </w:rPr>
        <w:t>.</w:t>
      </w:r>
      <w:r w:rsidR="004E638A" w:rsidRPr="004E038A">
        <w:rPr>
          <w:rFonts w:ascii="Arial" w:hAnsi="Arial" w:cs="Arial"/>
          <w:color w:val="000361"/>
          <w:sz w:val="20"/>
          <w:szCs w:val="20"/>
        </w:rPr>
        <w:t xml:space="preserve"> </w:t>
      </w:r>
      <w:r w:rsidRPr="004E038A">
        <w:rPr>
          <w:rFonts w:ascii="Arial" w:hAnsi="Arial" w:cs="Arial"/>
          <w:color w:val="000361"/>
          <w:sz w:val="20"/>
          <w:szCs w:val="20"/>
        </w:rPr>
        <w:t>La seva aposta és la</w:t>
      </w:r>
      <w:r w:rsidR="004E638A" w:rsidRPr="004E038A">
        <w:rPr>
          <w:rFonts w:ascii="Arial" w:hAnsi="Arial" w:cs="Arial"/>
          <w:color w:val="000361"/>
          <w:sz w:val="20"/>
          <w:szCs w:val="20"/>
        </w:rPr>
        <w:t xml:space="preserve"> investigació i</w:t>
      </w:r>
      <w:r w:rsidRPr="004E038A">
        <w:rPr>
          <w:rFonts w:ascii="Arial" w:hAnsi="Arial" w:cs="Arial"/>
          <w:color w:val="000361"/>
          <w:sz w:val="20"/>
          <w:szCs w:val="20"/>
        </w:rPr>
        <w:t xml:space="preserve"> la</w:t>
      </w:r>
      <w:r w:rsidR="004E638A" w:rsidRPr="004E038A">
        <w:rPr>
          <w:rFonts w:ascii="Arial" w:hAnsi="Arial" w:cs="Arial"/>
          <w:color w:val="000361"/>
          <w:sz w:val="20"/>
          <w:szCs w:val="20"/>
        </w:rPr>
        <w:t xml:space="preserve"> innovació</w:t>
      </w:r>
      <w:r w:rsidRPr="004E038A">
        <w:rPr>
          <w:rFonts w:ascii="Arial" w:hAnsi="Arial" w:cs="Arial"/>
          <w:color w:val="000361"/>
          <w:sz w:val="20"/>
          <w:szCs w:val="20"/>
        </w:rPr>
        <w:t xml:space="preserve"> amb</w:t>
      </w:r>
      <w:r w:rsidR="004E638A" w:rsidRPr="004E038A">
        <w:rPr>
          <w:rFonts w:ascii="Arial" w:hAnsi="Arial" w:cs="Arial"/>
          <w:color w:val="000361"/>
          <w:sz w:val="20"/>
          <w:szCs w:val="20"/>
        </w:rPr>
        <w:t xml:space="preserve"> productes Biològics. Aproximadament el 10% de la seva facturació anual es dedica a activitats de R+D i el resultat és que amb 10 anys H</w:t>
      </w:r>
      <w:r w:rsidR="00D51D8D">
        <w:rPr>
          <w:rFonts w:ascii="Arial" w:hAnsi="Arial" w:cs="Arial"/>
          <w:color w:val="000361"/>
          <w:sz w:val="20"/>
          <w:szCs w:val="20"/>
        </w:rPr>
        <w:t>ipra</w:t>
      </w:r>
      <w:r w:rsidR="004E638A" w:rsidRPr="004E038A">
        <w:rPr>
          <w:rFonts w:ascii="Arial" w:hAnsi="Arial" w:cs="Arial"/>
          <w:color w:val="000361"/>
          <w:sz w:val="20"/>
          <w:szCs w:val="20"/>
        </w:rPr>
        <w:t xml:space="preserve"> ha estat capaç de treure al mercat 18 no</w:t>
      </w:r>
      <w:r w:rsidR="001A1E54">
        <w:rPr>
          <w:rFonts w:ascii="Arial" w:hAnsi="Arial" w:cs="Arial"/>
          <w:color w:val="000361"/>
          <w:sz w:val="20"/>
          <w:szCs w:val="20"/>
        </w:rPr>
        <w:t>us</w:t>
      </w:r>
      <w:r w:rsidR="004E638A" w:rsidRPr="004E038A">
        <w:rPr>
          <w:rFonts w:ascii="Arial" w:hAnsi="Arial" w:cs="Arial"/>
          <w:color w:val="000361"/>
          <w:sz w:val="20"/>
          <w:szCs w:val="20"/>
        </w:rPr>
        <w:t xml:space="preserve"> </w:t>
      </w:r>
      <w:r w:rsidR="001A1E54">
        <w:rPr>
          <w:rFonts w:ascii="Arial" w:hAnsi="Arial" w:cs="Arial"/>
          <w:color w:val="000361"/>
          <w:sz w:val="20"/>
          <w:szCs w:val="20"/>
        </w:rPr>
        <w:t>vaccin</w:t>
      </w:r>
      <w:r w:rsidR="004E638A" w:rsidRPr="004E038A">
        <w:rPr>
          <w:rFonts w:ascii="Arial" w:hAnsi="Arial" w:cs="Arial"/>
          <w:color w:val="000361"/>
          <w:sz w:val="20"/>
          <w:szCs w:val="20"/>
        </w:rPr>
        <w:t xml:space="preserve">s. No hi ha cap altre empresa del seu sector que </w:t>
      </w:r>
      <w:r w:rsidRPr="004E038A">
        <w:rPr>
          <w:rFonts w:ascii="Arial" w:hAnsi="Arial" w:cs="Arial"/>
          <w:color w:val="000361"/>
          <w:sz w:val="20"/>
          <w:szCs w:val="20"/>
        </w:rPr>
        <w:t>ho hagi fet</w:t>
      </w:r>
      <w:r w:rsidR="004E638A" w:rsidRPr="004E038A">
        <w:rPr>
          <w:rFonts w:ascii="Arial" w:hAnsi="Arial" w:cs="Arial"/>
          <w:color w:val="000361"/>
          <w:sz w:val="20"/>
          <w:szCs w:val="20"/>
        </w:rPr>
        <w:t>. Aquests vac</w:t>
      </w:r>
      <w:r w:rsidR="001A1E54">
        <w:rPr>
          <w:rFonts w:ascii="Arial" w:hAnsi="Arial" w:cs="Arial"/>
          <w:color w:val="000361"/>
          <w:sz w:val="20"/>
          <w:szCs w:val="20"/>
        </w:rPr>
        <w:t>cins</w:t>
      </w:r>
      <w:r w:rsidR="004E638A" w:rsidRPr="004E038A">
        <w:rPr>
          <w:rFonts w:ascii="Arial" w:hAnsi="Arial" w:cs="Arial"/>
          <w:color w:val="000361"/>
          <w:sz w:val="20"/>
          <w:szCs w:val="20"/>
        </w:rPr>
        <w:t xml:space="preserve"> es complementen amb el serveis de </w:t>
      </w:r>
      <w:r w:rsidR="006E5C3E" w:rsidRPr="004E038A">
        <w:rPr>
          <w:rFonts w:ascii="Arial" w:hAnsi="Arial" w:cs="Arial"/>
          <w:color w:val="000361"/>
          <w:sz w:val="20"/>
          <w:szCs w:val="20"/>
        </w:rPr>
        <w:t>diagnosi</w:t>
      </w:r>
      <w:r w:rsidR="004E638A" w:rsidRPr="004E038A">
        <w:rPr>
          <w:rFonts w:ascii="Arial" w:hAnsi="Arial" w:cs="Arial"/>
          <w:color w:val="000361"/>
          <w:sz w:val="20"/>
          <w:szCs w:val="20"/>
        </w:rPr>
        <w:t xml:space="preserve">, dispositius mèdics de vacunació que permeten un major control i traçabilitat, i </w:t>
      </w:r>
      <w:r w:rsidR="006E5C3E" w:rsidRPr="004E038A">
        <w:rPr>
          <w:rFonts w:ascii="Arial" w:hAnsi="Arial" w:cs="Arial"/>
          <w:color w:val="000361"/>
          <w:sz w:val="20"/>
          <w:szCs w:val="20"/>
        </w:rPr>
        <w:t>programes</w:t>
      </w:r>
      <w:r w:rsidR="004E638A" w:rsidRPr="004E038A">
        <w:rPr>
          <w:rFonts w:ascii="Arial" w:hAnsi="Arial" w:cs="Arial"/>
          <w:color w:val="000361"/>
          <w:sz w:val="20"/>
          <w:szCs w:val="20"/>
        </w:rPr>
        <w:t xml:space="preserve"> de formació pels professionals del sector veterinari.</w:t>
      </w:r>
    </w:p>
    <w:p w:rsidR="00805CF6" w:rsidRPr="004E038A" w:rsidRDefault="00805CF6" w:rsidP="005E2448">
      <w:pPr>
        <w:pStyle w:val="Prrafodelista"/>
        <w:ind w:left="0"/>
        <w:jc w:val="both"/>
        <w:rPr>
          <w:rFonts w:ascii="Arial" w:hAnsi="Arial" w:cs="Arial"/>
          <w:color w:val="000361"/>
          <w:sz w:val="20"/>
          <w:szCs w:val="20"/>
        </w:rPr>
      </w:pPr>
    </w:p>
    <w:p w:rsidR="00805CF6" w:rsidRPr="004E038A" w:rsidRDefault="00805CF6" w:rsidP="005E2448">
      <w:pPr>
        <w:pStyle w:val="Prrafodelista"/>
        <w:ind w:left="0"/>
        <w:jc w:val="both"/>
        <w:rPr>
          <w:rFonts w:ascii="Arial" w:hAnsi="Arial" w:cs="Arial"/>
          <w:color w:val="000361"/>
          <w:sz w:val="20"/>
          <w:szCs w:val="20"/>
        </w:rPr>
      </w:pPr>
      <w:r w:rsidRPr="004E038A">
        <w:rPr>
          <w:rFonts w:ascii="Arial" w:hAnsi="Arial" w:cs="Arial"/>
          <w:color w:val="000361"/>
          <w:sz w:val="20"/>
          <w:szCs w:val="20"/>
        </w:rPr>
        <w:t xml:space="preserve"> </w:t>
      </w:r>
      <w:r w:rsidR="001A1E54">
        <w:rPr>
          <w:rFonts w:ascii="Arial" w:hAnsi="Arial" w:cs="Arial"/>
          <w:color w:val="000361"/>
          <w:sz w:val="20"/>
          <w:szCs w:val="20"/>
        </w:rPr>
        <w:t>Els</w:t>
      </w:r>
      <w:r w:rsidRPr="004E038A">
        <w:rPr>
          <w:rFonts w:ascii="Arial" w:hAnsi="Arial" w:cs="Arial"/>
          <w:color w:val="000361"/>
          <w:sz w:val="20"/>
          <w:szCs w:val="20"/>
        </w:rPr>
        <w:t xml:space="preserve"> vac</w:t>
      </w:r>
      <w:r w:rsidR="001A1E54">
        <w:rPr>
          <w:rFonts w:ascii="Arial" w:hAnsi="Arial" w:cs="Arial"/>
          <w:color w:val="000361"/>
          <w:sz w:val="20"/>
          <w:szCs w:val="20"/>
        </w:rPr>
        <w:t>ci</w:t>
      </w:r>
      <w:r w:rsidRPr="004E038A">
        <w:rPr>
          <w:rFonts w:ascii="Arial" w:hAnsi="Arial" w:cs="Arial"/>
          <w:color w:val="000361"/>
          <w:sz w:val="20"/>
          <w:szCs w:val="20"/>
        </w:rPr>
        <w:t>ns actualment han adquirit una importància cabdal amb la presència del COVID-19 i la necessitat d’immunitzar la població mundial per mitjà d</w:t>
      </w:r>
      <w:r w:rsidR="007719F6" w:rsidRPr="004E038A">
        <w:rPr>
          <w:rFonts w:ascii="Arial" w:hAnsi="Arial" w:cs="Arial"/>
          <w:color w:val="000361"/>
          <w:sz w:val="20"/>
          <w:szCs w:val="20"/>
        </w:rPr>
        <w:t>’aquestes</w:t>
      </w:r>
      <w:r w:rsidR="00BF142B">
        <w:rPr>
          <w:rFonts w:ascii="Arial" w:hAnsi="Arial" w:cs="Arial"/>
          <w:color w:val="000361"/>
          <w:sz w:val="20"/>
          <w:szCs w:val="20"/>
        </w:rPr>
        <w:t xml:space="preserve">. En aquest sentit, </w:t>
      </w:r>
      <w:r w:rsidR="008C583E" w:rsidRPr="004E038A">
        <w:rPr>
          <w:rFonts w:ascii="Arial" w:hAnsi="Arial" w:cs="Arial"/>
          <w:color w:val="000361"/>
          <w:sz w:val="20"/>
          <w:szCs w:val="20"/>
        </w:rPr>
        <w:t>els mitjans de comunicació</w:t>
      </w:r>
      <w:r w:rsidR="00BF142B">
        <w:rPr>
          <w:rFonts w:ascii="Arial" w:hAnsi="Arial" w:cs="Arial"/>
          <w:color w:val="000361"/>
          <w:sz w:val="20"/>
          <w:szCs w:val="20"/>
        </w:rPr>
        <w:t xml:space="preserve"> fa pocs dies que</w:t>
      </w:r>
      <w:r w:rsidR="008C583E" w:rsidRPr="004E038A">
        <w:rPr>
          <w:rFonts w:ascii="Arial" w:hAnsi="Arial" w:cs="Arial"/>
          <w:color w:val="000361"/>
          <w:sz w:val="20"/>
          <w:szCs w:val="20"/>
        </w:rPr>
        <w:t xml:space="preserve"> </w:t>
      </w:r>
      <w:r w:rsidR="00BF142B">
        <w:rPr>
          <w:rFonts w:ascii="Arial" w:hAnsi="Arial" w:cs="Arial"/>
          <w:color w:val="000361"/>
          <w:sz w:val="20"/>
          <w:szCs w:val="20"/>
        </w:rPr>
        <w:t>s’han fet ressò</w:t>
      </w:r>
      <w:r w:rsidR="008C583E" w:rsidRPr="004E038A">
        <w:rPr>
          <w:rFonts w:ascii="Arial" w:hAnsi="Arial" w:cs="Arial"/>
          <w:color w:val="000361"/>
          <w:sz w:val="20"/>
          <w:szCs w:val="20"/>
        </w:rPr>
        <w:t xml:space="preserve"> que</w:t>
      </w:r>
      <w:r w:rsidR="00BF142B">
        <w:rPr>
          <w:rFonts w:ascii="Arial" w:hAnsi="Arial" w:cs="Arial"/>
          <w:color w:val="000361"/>
          <w:sz w:val="20"/>
          <w:szCs w:val="20"/>
        </w:rPr>
        <w:t xml:space="preserve"> Laboratoris</w:t>
      </w:r>
      <w:r w:rsidR="008C583E" w:rsidRPr="004E038A">
        <w:rPr>
          <w:rFonts w:ascii="Arial" w:hAnsi="Arial" w:cs="Arial"/>
          <w:color w:val="000361"/>
          <w:sz w:val="20"/>
          <w:szCs w:val="20"/>
        </w:rPr>
        <w:t xml:space="preserve"> H</w:t>
      </w:r>
      <w:r w:rsidR="006F3AEA">
        <w:rPr>
          <w:rFonts w:ascii="Arial" w:hAnsi="Arial" w:cs="Arial"/>
          <w:color w:val="000361"/>
          <w:sz w:val="20"/>
          <w:szCs w:val="20"/>
        </w:rPr>
        <w:t>ipra</w:t>
      </w:r>
      <w:r w:rsidR="008C583E" w:rsidRPr="004E038A">
        <w:rPr>
          <w:rFonts w:ascii="Arial" w:hAnsi="Arial" w:cs="Arial"/>
          <w:color w:val="000361"/>
          <w:sz w:val="20"/>
          <w:szCs w:val="20"/>
        </w:rPr>
        <w:t xml:space="preserve"> està investigant i desenvolupant un v</w:t>
      </w:r>
      <w:r w:rsidR="001A1E54">
        <w:rPr>
          <w:rFonts w:ascii="Arial" w:hAnsi="Arial" w:cs="Arial"/>
          <w:color w:val="000361"/>
          <w:sz w:val="20"/>
          <w:szCs w:val="20"/>
        </w:rPr>
        <w:t>accí</w:t>
      </w:r>
      <w:r w:rsidR="008C583E" w:rsidRPr="004E038A">
        <w:rPr>
          <w:rFonts w:ascii="Arial" w:hAnsi="Arial" w:cs="Arial"/>
          <w:color w:val="000361"/>
          <w:sz w:val="20"/>
          <w:szCs w:val="20"/>
        </w:rPr>
        <w:t xml:space="preserve"> hum</w:t>
      </w:r>
      <w:r w:rsidR="001A1E54">
        <w:rPr>
          <w:rFonts w:ascii="Arial" w:hAnsi="Arial" w:cs="Arial"/>
          <w:color w:val="000361"/>
          <w:sz w:val="20"/>
          <w:szCs w:val="20"/>
        </w:rPr>
        <w:t>à</w:t>
      </w:r>
      <w:r w:rsidR="008C583E" w:rsidRPr="004E038A">
        <w:rPr>
          <w:rFonts w:ascii="Arial" w:hAnsi="Arial" w:cs="Arial"/>
          <w:color w:val="000361"/>
          <w:sz w:val="20"/>
          <w:szCs w:val="20"/>
        </w:rPr>
        <w:t xml:space="preserve"> per fer front a</w:t>
      </w:r>
      <w:r w:rsidR="00BF142B">
        <w:rPr>
          <w:rFonts w:ascii="Arial" w:hAnsi="Arial" w:cs="Arial"/>
          <w:color w:val="000361"/>
          <w:sz w:val="20"/>
          <w:szCs w:val="20"/>
        </w:rPr>
        <w:t xml:space="preserve"> la</w:t>
      </w:r>
      <w:r w:rsidR="008C583E" w:rsidRPr="004E038A">
        <w:rPr>
          <w:rFonts w:ascii="Arial" w:hAnsi="Arial" w:cs="Arial"/>
          <w:color w:val="000361"/>
          <w:sz w:val="20"/>
          <w:szCs w:val="20"/>
        </w:rPr>
        <w:t xml:space="preserve"> COVID-19. </w:t>
      </w:r>
      <w:r w:rsidR="007719F6" w:rsidRPr="004E038A">
        <w:rPr>
          <w:rFonts w:ascii="Arial" w:hAnsi="Arial" w:cs="Arial"/>
          <w:color w:val="000361"/>
          <w:sz w:val="20"/>
          <w:szCs w:val="20"/>
        </w:rPr>
        <w:t>“Perquè, no?”. Té la</w:t>
      </w:r>
      <w:r w:rsidR="008C583E" w:rsidRPr="004E038A">
        <w:rPr>
          <w:rFonts w:ascii="Arial" w:hAnsi="Arial" w:cs="Arial"/>
          <w:color w:val="000361"/>
          <w:sz w:val="20"/>
          <w:szCs w:val="20"/>
        </w:rPr>
        <w:t xml:space="preserve"> tecnologia </w:t>
      </w:r>
      <w:r w:rsidR="006E5C3E" w:rsidRPr="004E038A">
        <w:rPr>
          <w:rFonts w:ascii="Arial" w:hAnsi="Arial" w:cs="Arial"/>
          <w:color w:val="000361"/>
          <w:sz w:val="20"/>
          <w:szCs w:val="20"/>
        </w:rPr>
        <w:t>necessària</w:t>
      </w:r>
      <w:r w:rsidR="007719F6" w:rsidRPr="004E038A">
        <w:rPr>
          <w:rFonts w:ascii="Arial" w:hAnsi="Arial" w:cs="Arial"/>
          <w:color w:val="000361"/>
          <w:sz w:val="20"/>
          <w:szCs w:val="20"/>
        </w:rPr>
        <w:t>, els coneixements</w:t>
      </w:r>
      <w:r w:rsidR="008C583E" w:rsidRPr="004E038A">
        <w:rPr>
          <w:rFonts w:ascii="Arial" w:hAnsi="Arial" w:cs="Arial"/>
          <w:color w:val="000361"/>
          <w:sz w:val="20"/>
          <w:szCs w:val="20"/>
        </w:rPr>
        <w:t xml:space="preserve"> i</w:t>
      </w:r>
      <w:r w:rsidRPr="004E038A">
        <w:rPr>
          <w:rFonts w:ascii="Arial" w:hAnsi="Arial" w:cs="Arial"/>
          <w:color w:val="000361"/>
          <w:sz w:val="20"/>
          <w:szCs w:val="20"/>
        </w:rPr>
        <w:t xml:space="preserve"> </w:t>
      </w:r>
      <w:r w:rsidR="007719F6" w:rsidRPr="004E038A">
        <w:rPr>
          <w:rFonts w:ascii="Arial" w:hAnsi="Arial" w:cs="Arial"/>
          <w:color w:val="000361"/>
          <w:sz w:val="20"/>
          <w:szCs w:val="20"/>
        </w:rPr>
        <w:t xml:space="preserve">també </w:t>
      </w:r>
      <w:r w:rsidR="009B0D73" w:rsidRPr="004E038A">
        <w:rPr>
          <w:rFonts w:ascii="Arial" w:hAnsi="Arial" w:cs="Arial"/>
          <w:color w:val="000361"/>
          <w:sz w:val="20"/>
          <w:szCs w:val="20"/>
        </w:rPr>
        <w:t>disposa del control</w:t>
      </w:r>
      <w:r w:rsidRPr="004E038A">
        <w:rPr>
          <w:rFonts w:ascii="Arial" w:hAnsi="Arial" w:cs="Arial"/>
          <w:color w:val="000361"/>
          <w:sz w:val="20"/>
          <w:szCs w:val="20"/>
        </w:rPr>
        <w:t xml:space="preserve"> sobre tota la cadena de valor : investigació, desenvolupament, producció, distribució i comercialització</w:t>
      </w:r>
      <w:r w:rsidR="007719F6" w:rsidRPr="004E038A">
        <w:rPr>
          <w:rFonts w:ascii="Arial" w:hAnsi="Arial" w:cs="Arial"/>
          <w:color w:val="000361"/>
          <w:sz w:val="20"/>
          <w:szCs w:val="20"/>
        </w:rPr>
        <w:t xml:space="preserve"> per fer possible que aquest desig esdevingui una realitat.</w:t>
      </w:r>
    </w:p>
    <w:p w:rsidR="00190CAD" w:rsidRPr="004E038A" w:rsidRDefault="00190CAD" w:rsidP="005E2448">
      <w:pPr>
        <w:pStyle w:val="Prrafodelista"/>
        <w:ind w:left="0"/>
        <w:jc w:val="both"/>
        <w:rPr>
          <w:rFonts w:ascii="Arial" w:hAnsi="Arial" w:cs="Arial"/>
          <w:color w:val="000361"/>
          <w:sz w:val="20"/>
          <w:szCs w:val="20"/>
        </w:rPr>
      </w:pPr>
    </w:p>
    <w:p w:rsidR="00597C66" w:rsidRPr="004E038A" w:rsidRDefault="00597C66" w:rsidP="005E2448">
      <w:pPr>
        <w:pStyle w:val="Prrafodelista"/>
        <w:ind w:left="0"/>
        <w:jc w:val="both"/>
        <w:rPr>
          <w:rFonts w:ascii="Arial" w:hAnsi="Arial" w:cs="Arial"/>
          <w:color w:val="000361"/>
          <w:sz w:val="20"/>
          <w:szCs w:val="20"/>
        </w:rPr>
      </w:pPr>
      <w:r w:rsidRPr="004E038A">
        <w:rPr>
          <w:rFonts w:ascii="Arial" w:hAnsi="Arial" w:cs="Arial"/>
          <w:color w:val="000361"/>
          <w:sz w:val="20"/>
          <w:szCs w:val="20"/>
        </w:rPr>
        <w:t xml:space="preserve"> </w:t>
      </w:r>
    </w:p>
    <w:p w:rsidR="00597C66" w:rsidRPr="004E038A" w:rsidRDefault="00597C66" w:rsidP="006A00F7">
      <w:pPr>
        <w:pStyle w:val="Prrafodelista"/>
        <w:ind w:left="0"/>
        <w:rPr>
          <w:rFonts w:ascii="Arial" w:hAnsi="Arial" w:cs="Arial"/>
          <w:color w:val="000361"/>
          <w:sz w:val="20"/>
          <w:szCs w:val="20"/>
        </w:rPr>
      </w:pPr>
    </w:p>
    <w:p w:rsidR="00E853DC" w:rsidRDefault="00E853DC" w:rsidP="002D48FA">
      <w:pPr>
        <w:pStyle w:val="Prrafodelista"/>
        <w:numPr>
          <w:ilvl w:val="0"/>
          <w:numId w:val="10"/>
        </w:numPr>
        <w:jc w:val="both"/>
        <w:rPr>
          <w:rFonts w:ascii="Arial" w:hAnsi="Arial" w:cs="Arial"/>
          <w:b/>
          <w:color w:val="000361"/>
        </w:rPr>
      </w:pPr>
      <w:r>
        <w:rPr>
          <w:rFonts w:ascii="Arial" w:hAnsi="Arial" w:cs="Arial"/>
          <w:b/>
          <w:color w:val="000361"/>
        </w:rPr>
        <w:br w:type="page"/>
      </w:r>
    </w:p>
    <w:p w:rsidR="00534B9F" w:rsidRPr="00F6734A" w:rsidRDefault="00106DD6" w:rsidP="005F098A">
      <w:pPr>
        <w:pStyle w:val="Prrafodelista"/>
        <w:numPr>
          <w:ilvl w:val="0"/>
          <w:numId w:val="8"/>
        </w:numPr>
        <w:ind w:left="284" w:hanging="284"/>
        <w:jc w:val="both"/>
        <w:rPr>
          <w:rFonts w:ascii="Arial" w:hAnsi="Arial" w:cs="Arial"/>
          <w:b/>
          <w:color w:val="000361"/>
        </w:rPr>
      </w:pPr>
      <w:r w:rsidRPr="00F6734A">
        <w:rPr>
          <w:rFonts w:ascii="Arial" w:hAnsi="Arial" w:cs="Arial"/>
          <w:b/>
          <w:color w:val="000361"/>
        </w:rPr>
        <w:lastRenderedPageBreak/>
        <w:t>ANÀLISI DELS COMPTES CONSOLIDATS DE HIPRA S.A.</w:t>
      </w:r>
    </w:p>
    <w:p w:rsidR="00420CAB" w:rsidRDefault="00420CAB" w:rsidP="00106DD6">
      <w:pPr>
        <w:jc w:val="both"/>
        <w:rPr>
          <w:rFonts w:ascii="Arial" w:hAnsi="Arial" w:cs="Arial"/>
          <w:color w:val="000361"/>
          <w:sz w:val="20"/>
          <w:szCs w:val="20"/>
        </w:rPr>
      </w:pPr>
    </w:p>
    <w:p w:rsidR="00AB387A" w:rsidRDefault="00106DD6" w:rsidP="00106DD6">
      <w:pPr>
        <w:jc w:val="both"/>
        <w:rPr>
          <w:rFonts w:ascii="Arial" w:hAnsi="Arial" w:cs="Arial"/>
          <w:b/>
          <w:color w:val="000361"/>
        </w:rPr>
      </w:pPr>
      <w:r w:rsidRPr="00542E0E">
        <w:rPr>
          <w:rFonts w:ascii="Arial" w:hAnsi="Arial" w:cs="Arial"/>
          <w:b/>
          <w:color w:val="000361"/>
        </w:rPr>
        <w:t>2.1. Introducció dels estats financers</w:t>
      </w:r>
    </w:p>
    <w:p w:rsidR="00542E0E" w:rsidRDefault="00542E0E" w:rsidP="00106DD6">
      <w:pPr>
        <w:jc w:val="both"/>
        <w:rPr>
          <w:rFonts w:ascii="Arial" w:hAnsi="Arial" w:cs="Arial"/>
          <w:b/>
          <w:color w:val="000361"/>
        </w:rPr>
      </w:pPr>
    </w:p>
    <w:p w:rsidR="00542E0E" w:rsidRDefault="00542E0E" w:rsidP="00106DD6">
      <w:pPr>
        <w:jc w:val="both"/>
        <w:rPr>
          <w:rFonts w:ascii="Arial" w:hAnsi="Arial" w:cs="Arial"/>
          <w:color w:val="000361"/>
          <w:sz w:val="20"/>
          <w:szCs w:val="20"/>
        </w:rPr>
      </w:pPr>
      <w:r>
        <w:rPr>
          <w:rFonts w:ascii="Arial" w:hAnsi="Arial" w:cs="Arial"/>
          <w:color w:val="000361"/>
          <w:sz w:val="20"/>
          <w:szCs w:val="20"/>
        </w:rPr>
        <w:t xml:space="preserve">Els estats financers </w:t>
      </w:r>
      <w:r w:rsidR="00ED4A4B">
        <w:rPr>
          <w:rFonts w:ascii="Arial" w:hAnsi="Arial" w:cs="Arial"/>
          <w:color w:val="000361"/>
          <w:sz w:val="20"/>
          <w:szCs w:val="20"/>
        </w:rPr>
        <w:t>de Laboratoris H</w:t>
      </w:r>
      <w:r w:rsidR="00D51D8D">
        <w:rPr>
          <w:rFonts w:ascii="Arial" w:hAnsi="Arial" w:cs="Arial"/>
          <w:color w:val="000361"/>
          <w:sz w:val="20"/>
          <w:szCs w:val="20"/>
        </w:rPr>
        <w:t>ipra</w:t>
      </w:r>
      <w:r w:rsidR="00ED4A4B">
        <w:rPr>
          <w:rFonts w:ascii="Arial" w:hAnsi="Arial" w:cs="Arial"/>
          <w:color w:val="000361"/>
          <w:sz w:val="20"/>
          <w:szCs w:val="20"/>
        </w:rPr>
        <w:t xml:space="preserve"> </w:t>
      </w:r>
      <w:r>
        <w:rPr>
          <w:rFonts w:ascii="Arial" w:hAnsi="Arial" w:cs="Arial"/>
          <w:color w:val="000361"/>
          <w:sz w:val="20"/>
          <w:szCs w:val="20"/>
        </w:rPr>
        <w:t xml:space="preserve">són analitzats </w:t>
      </w:r>
      <w:r w:rsidR="00ED4A4B">
        <w:rPr>
          <w:rFonts w:ascii="Arial" w:hAnsi="Arial" w:cs="Arial"/>
          <w:color w:val="000361"/>
          <w:sz w:val="20"/>
          <w:szCs w:val="20"/>
        </w:rPr>
        <w:t xml:space="preserve">amb els comptes anuals consolidats dels 5 exercicis </w:t>
      </w:r>
      <w:r w:rsidR="00DF620D">
        <w:rPr>
          <w:rFonts w:ascii="Arial" w:hAnsi="Arial" w:cs="Arial"/>
          <w:color w:val="000361"/>
          <w:sz w:val="20"/>
          <w:szCs w:val="20"/>
        </w:rPr>
        <w:t>compresos</w:t>
      </w:r>
      <w:r w:rsidR="00ED4A4B">
        <w:rPr>
          <w:rFonts w:ascii="Arial" w:hAnsi="Arial" w:cs="Arial"/>
          <w:color w:val="000361"/>
          <w:sz w:val="20"/>
          <w:szCs w:val="20"/>
        </w:rPr>
        <w:t xml:space="preserve"> entre 2015 i 2019 (ambdós inclosos) obtinguts del SABI. Els comptes anuals recullen els balanços, comptes de pèrdues i guanys, l’estat de canvis en el patrimoni net i l’estat de fluxos d’efectiu. En aquest cas no s’ha pogut tenir accés a la memòria perquè l’empresa en qüestió després de demanar-la no ha accedit a facilitar-la </w:t>
      </w:r>
      <w:r w:rsidR="0017266E">
        <w:rPr>
          <w:rFonts w:ascii="Arial" w:hAnsi="Arial" w:cs="Arial"/>
          <w:color w:val="000361"/>
          <w:sz w:val="20"/>
          <w:szCs w:val="20"/>
        </w:rPr>
        <w:t>emplaçant-nos a sol·licitar-la</w:t>
      </w:r>
      <w:r w:rsidR="00ED4A4B">
        <w:rPr>
          <w:rFonts w:ascii="Arial" w:hAnsi="Arial" w:cs="Arial"/>
          <w:color w:val="000361"/>
          <w:sz w:val="20"/>
          <w:szCs w:val="20"/>
        </w:rPr>
        <w:t xml:space="preserve"> </w:t>
      </w:r>
      <w:r w:rsidR="0017266E">
        <w:rPr>
          <w:rFonts w:ascii="Arial" w:hAnsi="Arial" w:cs="Arial"/>
          <w:color w:val="000361"/>
          <w:sz w:val="20"/>
          <w:szCs w:val="20"/>
        </w:rPr>
        <w:t>a</w:t>
      </w:r>
      <w:r w:rsidR="00ED4A4B">
        <w:rPr>
          <w:rFonts w:ascii="Arial" w:hAnsi="Arial" w:cs="Arial"/>
          <w:color w:val="000361"/>
          <w:sz w:val="20"/>
          <w:szCs w:val="20"/>
        </w:rPr>
        <w:t>l Registre Mercantil</w:t>
      </w:r>
      <w:r w:rsidR="0017266E">
        <w:rPr>
          <w:rFonts w:ascii="Arial" w:hAnsi="Arial" w:cs="Arial"/>
          <w:color w:val="000361"/>
          <w:sz w:val="20"/>
          <w:szCs w:val="20"/>
        </w:rPr>
        <w:t xml:space="preserve"> per la qual es pot obtenir per mitjà de previ pagament.</w:t>
      </w:r>
    </w:p>
    <w:p w:rsidR="0017266E" w:rsidRPr="00542E0E" w:rsidRDefault="0017266E" w:rsidP="00106DD6">
      <w:pPr>
        <w:jc w:val="both"/>
        <w:rPr>
          <w:rFonts w:ascii="Arial" w:hAnsi="Arial" w:cs="Arial"/>
          <w:b/>
          <w:color w:val="000361"/>
        </w:rPr>
      </w:pPr>
    </w:p>
    <w:p w:rsidR="00106DD6" w:rsidRDefault="00106DD6" w:rsidP="00106DD6">
      <w:pPr>
        <w:rPr>
          <w:rFonts w:ascii="Arial" w:hAnsi="Arial" w:cs="Arial"/>
          <w:b/>
          <w:color w:val="000361"/>
        </w:rPr>
      </w:pPr>
      <w:r w:rsidRPr="00542E0E">
        <w:rPr>
          <w:rFonts w:ascii="Arial" w:hAnsi="Arial" w:cs="Arial"/>
          <w:b/>
          <w:color w:val="000361"/>
        </w:rPr>
        <w:t>2.2. Anàlisi del balanç de situació consolidat</w:t>
      </w:r>
    </w:p>
    <w:p w:rsidR="00942F89" w:rsidRDefault="00942F89" w:rsidP="00106DD6">
      <w:pPr>
        <w:rPr>
          <w:rFonts w:ascii="Arial" w:hAnsi="Arial" w:cs="Arial"/>
          <w:b/>
          <w:color w:val="000361"/>
        </w:rPr>
      </w:pPr>
    </w:p>
    <w:p w:rsidR="00942F89" w:rsidRDefault="00A0431A" w:rsidP="00B665AE">
      <w:pPr>
        <w:jc w:val="both"/>
        <w:rPr>
          <w:rFonts w:ascii="Arial" w:hAnsi="Arial" w:cs="Arial"/>
          <w:color w:val="000361"/>
          <w:sz w:val="20"/>
          <w:szCs w:val="20"/>
        </w:rPr>
      </w:pPr>
      <w:r>
        <w:rPr>
          <w:rFonts w:ascii="Arial" w:hAnsi="Arial" w:cs="Arial"/>
          <w:color w:val="000361"/>
          <w:sz w:val="20"/>
          <w:szCs w:val="20"/>
        </w:rPr>
        <w:t xml:space="preserve">Pels exercicis 2015 al 2019 es presenten els comptes anuals amb unes taules per observar dins d’aquest període com s’estructuren actiu, passiu i patrimoni net a través de l’anàlisi en % vertical del balanç de situació, i </w:t>
      </w:r>
      <w:r w:rsidR="00B93F01">
        <w:rPr>
          <w:rFonts w:ascii="Arial" w:hAnsi="Arial" w:cs="Arial"/>
          <w:color w:val="000361"/>
          <w:sz w:val="20"/>
          <w:szCs w:val="20"/>
        </w:rPr>
        <w:t>les variacions de les principals partides</w:t>
      </w:r>
      <w:r>
        <w:rPr>
          <w:rFonts w:ascii="Arial" w:hAnsi="Arial" w:cs="Arial"/>
          <w:color w:val="000361"/>
          <w:sz w:val="20"/>
          <w:szCs w:val="20"/>
        </w:rPr>
        <w:t xml:space="preserve"> d’un exercici a l’altre per mitjà de l’anàlisi en % horitzontal.</w:t>
      </w:r>
      <w:r w:rsidR="00B93F01">
        <w:rPr>
          <w:rFonts w:ascii="Arial" w:hAnsi="Arial" w:cs="Arial"/>
          <w:color w:val="000361"/>
          <w:sz w:val="20"/>
          <w:szCs w:val="20"/>
        </w:rPr>
        <w:t xml:space="preserve"> Per l’anàlisi financer es calculen les ràtios de liquiditat, endeutament i fons de maniobra i es contrasten amb els </w:t>
      </w:r>
      <w:r w:rsidR="00DF620D">
        <w:rPr>
          <w:rFonts w:ascii="Arial" w:hAnsi="Arial" w:cs="Arial"/>
          <w:color w:val="000361"/>
          <w:sz w:val="20"/>
          <w:szCs w:val="20"/>
        </w:rPr>
        <w:t>valors</w:t>
      </w:r>
      <w:r w:rsidR="00B93F01">
        <w:rPr>
          <w:rFonts w:ascii="Arial" w:hAnsi="Arial" w:cs="Arial"/>
          <w:color w:val="000361"/>
          <w:sz w:val="20"/>
          <w:szCs w:val="20"/>
        </w:rPr>
        <w:t xml:space="preserve"> teòricament òptims, amb l’anàlisi del sector es comprovarà si aquests valors òptims també són característics del sector on es desenvolupa H</w:t>
      </w:r>
      <w:r w:rsidR="00D51D8D">
        <w:rPr>
          <w:rFonts w:ascii="Arial" w:hAnsi="Arial" w:cs="Arial"/>
          <w:color w:val="000361"/>
          <w:sz w:val="20"/>
          <w:szCs w:val="20"/>
        </w:rPr>
        <w:t>ipra</w:t>
      </w:r>
      <w:r w:rsidR="00B93F01">
        <w:rPr>
          <w:rFonts w:ascii="Arial" w:hAnsi="Arial" w:cs="Arial"/>
          <w:color w:val="000361"/>
          <w:sz w:val="20"/>
          <w:szCs w:val="20"/>
        </w:rPr>
        <w:t xml:space="preserve">.  </w:t>
      </w:r>
    </w:p>
    <w:p w:rsidR="00B93F01" w:rsidRPr="00942F89" w:rsidRDefault="00B93F01" w:rsidP="00106DD6">
      <w:pPr>
        <w:rPr>
          <w:rFonts w:ascii="Arial" w:hAnsi="Arial" w:cs="Arial"/>
          <w:color w:val="000361"/>
          <w:sz w:val="20"/>
          <w:szCs w:val="20"/>
        </w:rPr>
      </w:pPr>
    </w:p>
    <w:p w:rsidR="002D48FA" w:rsidRDefault="00106DD6" w:rsidP="002D48FA">
      <w:pPr>
        <w:pStyle w:val="Prrafodelista"/>
        <w:ind w:left="0"/>
        <w:jc w:val="both"/>
        <w:rPr>
          <w:rFonts w:ascii="Arial" w:hAnsi="Arial" w:cs="Arial"/>
          <w:i/>
          <w:color w:val="000361"/>
          <w:sz w:val="20"/>
          <w:szCs w:val="20"/>
        </w:rPr>
      </w:pPr>
      <w:r w:rsidRPr="00942F89">
        <w:rPr>
          <w:rFonts w:ascii="Arial" w:hAnsi="Arial" w:cs="Arial"/>
          <w:i/>
          <w:color w:val="000361"/>
          <w:sz w:val="20"/>
          <w:szCs w:val="20"/>
        </w:rPr>
        <w:t>2.2.1. Anàlisi patrimonial</w:t>
      </w:r>
    </w:p>
    <w:p w:rsidR="00246CE6" w:rsidRDefault="00246CE6" w:rsidP="002D48FA">
      <w:pPr>
        <w:pStyle w:val="Prrafodelista"/>
        <w:ind w:left="0"/>
        <w:jc w:val="both"/>
        <w:rPr>
          <w:rFonts w:ascii="Arial" w:hAnsi="Arial" w:cs="Arial"/>
          <w:i/>
          <w:color w:val="000361"/>
          <w:sz w:val="20"/>
          <w:szCs w:val="20"/>
        </w:rPr>
      </w:pPr>
      <w:r>
        <w:rPr>
          <w:rFonts w:ascii="Arial" w:hAnsi="Arial" w:cs="Arial"/>
          <w:i/>
          <w:color w:val="000361"/>
          <w:sz w:val="20"/>
          <w:szCs w:val="20"/>
        </w:rPr>
        <w:br w:type="page"/>
      </w:r>
    </w:p>
    <w:p w:rsidR="00246CE6" w:rsidRDefault="00246CE6" w:rsidP="002D48FA">
      <w:pPr>
        <w:pStyle w:val="Prrafodelista"/>
        <w:ind w:left="0"/>
        <w:jc w:val="both"/>
        <w:rPr>
          <w:rFonts w:ascii="Arial" w:hAnsi="Arial" w:cs="Arial"/>
          <w:i/>
          <w:color w:val="000361"/>
          <w:sz w:val="20"/>
          <w:szCs w:val="20"/>
        </w:rPr>
        <w:sectPr w:rsidR="00246CE6" w:rsidSect="00E2763D">
          <w:headerReference w:type="default" r:id="rId24"/>
          <w:pgSz w:w="11900" w:h="16840"/>
          <w:pgMar w:top="1440" w:right="1440" w:bottom="1326" w:left="1440" w:header="709" w:footer="639" w:gutter="0"/>
          <w:cols w:space="708"/>
          <w:docGrid w:linePitch="360"/>
        </w:sectPr>
      </w:pPr>
    </w:p>
    <w:p w:rsidR="00B93F01" w:rsidRPr="008C0D51" w:rsidRDefault="00B93F01" w:rsidP="002D48FA">
      <w:pPr>
        <w:pStyle w:val="Prrafodelista"/>
        <w:ind w:left="0"/>
        <w:jc w:val="both"/>
        <w:rPr>
          <w:rFonts w:ascii="Arial" w:hAnsi="Arial" w:cs="Arial"/>
          <w:i/>
          <w:color w:val="002060"/>
          <w:sz w:val="20"/>
          <w:szCs w:val="20"/>
        </w:rPr>
      </w:pPr>
    </w:p>
    <w:tbl>
      <w:tblPr>
        <w:tblW w:w="14726" w:type="dxa"/>
        <w:tblCellMar>
          <w:left w:w="70" w:type="dxa"/>
          <w:right w:w="70" w:type="dxa"/>
        </w:tblCellMar>
        <w:tblLook w:val="04A0" w:firstRow="1" w:lastRow="0" w:firstColumn="1" w:lastColumn="0" w:noHBand="0" w:noVBand="1"/>
      </w:tblPr>
      <w:tblGrid>
        <w:gridCol w:w="3352"/>
        <w:gridCol w:w="1348"/>
        <w:gridCol w:w="1156"/>
        <w:gridCol w:w="1348"/>
        <w:gridCol w:w="1156"/>
        <w:gridCol w:w="1350"/>
        <w:gridCol w:w="956"/>
        <w:gridCol w:w="1074"/>
        <w:gridCol w:w="956"/>
        <w:gridCol w:w="1074"/>
        <w:gridCol w:w="956"/>
      </w:tblGrid>
      <w:tr w:rsidR="00247311" w:rsidRPr="003D3E70" w:rsidTr="00247311">
        <w:trPr>
          <w:trHeight w:val="372"/>
        </w:trPr>
        <w:tc>
          <w:tcPr>
            <w:tcW w:w="13770" w:type="dxa"/>
            <w:gridSpan w:val="10"/>
            <w:tcBorders>
              <w:top w:val="nil"/>
              <w:left w:val="nil"/>
              <w:bottom w:val="nil"/>
              <w:right w:val="nil"/>
            </w:tcBorders>
            <w:shd w:val="clear" w:color="auto" w:fill="auto"/>
            <w:noWrap/>
            <w:vAlign w:val="bottom"/>
            <w:hideMark/>
          </w:tcPr>
          <w:p w:rsidR="00247311" w:rsidRPr="00AE1EC6" w:rsidRDefault="00247311" w:rsidP="003D3E70">
            <w:pPr>
              <w:rPr>
                <w:sz w:val="20"/>
                <w:szCs w:val="20"/>
              </w:rPr>
            </w:pPr>
            <w:r w:rsidRPr="00AE1EC6">
              <w:rPr>
                <w:rFonts w:ascii="Arial" w:hAnsi="Arial" w:cs="Arial"/>
                <w:bCs/>
                <w:color w:val="002060"/>
                <w:sz w:val="20"/>
                <w:szCs w:val="20"/>
              </w:rPr>
              <w:t>Taula 2.1 - Percentatges verticals del balanç de situació de Laboratoris Hipra s.a. pel període 2019-2015 (en milers d’€)</w:t>
            </w:r>
          </w:p>
        </w:tc>
        <w:tc>
          <w:tcPr>
            <w:tcW w:w="956" w:type="dxa"/>
            <w:tcBorders>
              <w:top w:val="nil"/>
              <w:left w:val="nil"/>
              <w:bottom w:val="nil"/>
              <w:right w:val="nil"/>
            </w:tcBorders>
            <w:shd w:val="clear" w:color="auto" w:fill="auto"/>
            <w:noWrap/>
            <w:vAlign w:val="bottom"/>
            <w:hideMark/>
          </w:tcPr>
          <w:p w:rsidR="00247311" w:rsidRPr="003D3E70" w:rsidRDefault="00247311" w:rsidP="003D3E70">
            <w:pPr>
              <w:rPr>
                <w:sz w:val="20"/>
                <w:szCs w:val="20"/>
              </w:rPr>
            </w:pPr>
          </w:p>
        </w:tc>
      </w:tr>
      <w:tr w:rsidR="003D3E70" w:rsidRPr="003D3E70" w:rsidTr="00247311">
        <w:trPr>
          <w:trHeight w:val="372"/>
        </w:trPr>
        <w:tc>
          <w:tcPr>
            <w:tcW w:w="3352" w:type="dxa"/>
            <w:tcBorders>
              <w:top w:val="nil"/>
              <w:left w:val="nil"/>
              <w:bottom w:val="nil"/>
              <w:right w:val="nil"/>
            </w:tcBorders>
            <w:shd w:val="clear" w:color="auto" w:fill="auto"/>
            <w:noWrap/>
            <w:vAlign w:val="bottom"/>
            <w:hideMark/>
          </w:tcPr>
          <w:p w:rsidR="003D3E70" w:rsidRPr="003D3E70" w:rsidRDefault="003D3E70" w:rsidP="003D3E70">
            <w:pPr>
              <w:rPr>
                <w:sz w:val="20"/>
                <w:szCs w:val="20"/>
              </w:rPr>
            </w:pPr>
          </w:p>
        </w:tc>
        <w:tc>
          <w:tcPr>
            <w:tcW w:w="1348" w:type="dxa"/>
            <w:tcBorders>
              <w:top w:val="nil"/>
              <w:left w:val="nil"/>
              <w:bottom w:val="nil"/>
              <w:right w:val="nil"/>
            </w:tcBorders>
            <w:shd w:val="clear" w:color="auto" w:fill="auto"/>
            <w:noWrap/>
            <w:vAlign w:val="bottom"/>
            <w:hideMark/>
          </w:tcPr>
          <w:p w:rsidR="003D3E70" w:rsidRPr="003D3E70" w:rsidRDefault="003D3E70" w:rsidP="003D3E70">
            <w:pPr>
              <w:rPr>
                <w:sz w:val="20"/>
                <w:szCs w:val="20"/>
              </w:rPr>
            </w:pPr>
          </w:p>
        </w:tc>
        <w:tc>
          <w:tcPr>
            <w:tcW w:w="1156" w:type="dxa"/>
            <w:tcBorders>
              <w:top w:val="nil"/>
              <w:left w:val="nil"/>
              <w:bottom w:val="nil"/>
              <w:right w:val="nil"/>
            </w:tcBorders>
            <w:shd w:val="clear" w:color="auto" w:fill="auto"/>
            <w:noWrap/>
            <w:vAlign w:val="bottom"/>
            <w:hideMark/>
          </w:tcPr>
          <w:p w:rsidR="003D3E70" w:rsidRPr="003D3E70" w:rsidRDefault="003D3E70" w:rsidP="003D3E70">
            <w:pPr>
              <w:rPr>
                <w:sz w:val="20"/>
                <w:szCs w:val="20"/>
              </w:rPr>
            </w:pPr>
          </w:p>
        </w:tc>
        <w:tc>
          <w:tcPr>
            <w:tcW w:w="1348" w:type="dxa"/>
            <w:tcBorders>
              <w:top w:val="nil"/>
              <w:left w:val="nil"/>
              <w:bottom w:val="nil"/>
              <w:right w:val="nil"/>
            </w:tcBorders>
            <w:shd w:val="clear" w:color="auto" w:fill="auto"/>
            <w:noWrap/>
            <w:vAlign w:val="bottom"/>
            <w:hideMark/>
          </w:tcPr>
          <w:p w:rsidR="003D3E70" w:rsidRPr="003D3E70" w:rsidRDefault="003D3E70" w:rsidP="003D3E70">
            <w:pPr>
              <w:rPr>
                <w:sz w:val="20"/>
                <w:szCs w:val="20"/>
              </w:rPr>
            </w:pPr>
          </w:p>
        </w:tc>
        <w:tc>
          <w:tcPr>
            <w:tcW w:w="1156" w:type="dxa"/>
            <w:tcBorders>
              <w:top w:val="nil"/>
              <w:left w:val="nil"/>
              <w:bottom w:val="nil"/>
              <w:right w:val="nil"/>
            </w:tcBorders>
            <w:shd w:val="clear" w:color="auto" w:fill="auto"/>
            <w:noWrap/>
            <w:vAlign w:val="bottom"/>
            <w:hideMark/>
          </w:tcPr>
          <w:p w:rsidR="003D3E70" w:rsidRPr="003D3E70" w:rsidRDefault="003D3E70" w:rsidP="003D3E70">
            <w:pPr>
              <w:rPr>
                <w:sz w:val="20"/>
                <w:szCs w:val="20"/>
              </w:rPr>
            </w:pPr>
          </w:p>
        </w:tc>
        <w:tc>
          <w:tcPr>
            <w:tcW w:w="1350" w:type="dxa"/>
            <w:tcBorders>
              <w:top w:val="nil"/>
              <w:left w:val="nil"/>
              <w:bottom w:val="nil"/>
              <w:right w:val="nil"/>
            </w:tcBorders>
            <w:shd w:val="clear" w:color="auto" w:fill="auto"/>
            <w:noWrap/>
            <w:vAlign w:val="bottom"/>
            <w:hideMark/>
          </w:tcPr>
          <w:p w:rsidR="003D3E70" w:rsidRPr="003D3E70" w:rsidRDefault="003D3E70" w:rsidP="003D3E70">
            <w:pPr>
              <w:rPr>
                <w:sz w:val="20"/>
                <w:szCs w:val="20"/>
              </w:rPr>
            </w:pPr>
          </w:p>
        </w:tc>
        <w:tc>
          <w:tcPr>
            <w:tcW w:w="956" w:type="dxa"/>
            <w:tcBorders>
              <w:top w:val="nil"/>
              <w:left w:val="nil"/>
              <w:bottom w:val="nil"/>
              <w:right w:val="nil"/>
            </w:tcBorders>
            <w:shd w:val="clear" w:color="auto" w:fill="auto"/>
            <w:noWrap/>
            <w:vAlign w:val="bottom"/>
            <w:hideMark/>
          </w:tcPr>
          <w:p w:rsidR="003D3E70" w:rsidRPr="003D3E70" w:rsidRDefault="003D3E70" w:rsidP="003D3E70">
            <w:pPr>
              <w:rPr>
                <w:sz w:val="20"/>
                <w:szCs w:val="20"/>
              </w:rPr>
            </w:pPr>
          </w:p>
        </w:tc>
        <w:tc>
          <w:tcPr>
            <w:tcW w:w="1074" w:type="dxa"/>
            <w:tcBorders>
              <w:top w:val="nil"/>
              <w:left w:val="nil"/>
              <w:bottom w:val="nil"/>
              <w:right w:val="nil"/>
            </w:tcBorders>
            <w:shd w:val="clear" w:color="auto" w:fill="auto"/>
            <w:noWrap/>
            <w:vAlign w:val="bottom"/>
            <w:hideMark/>
          </w:tcPr>
          <w:p w:rsidR="003D3E70" w:rsidRPr="003D3E70" w:rsidRDefault="003D3E70" w:rsidP="003D3E70">
            <w:pPr>
              <w:rPr>
                <w:sz w:val="20"/>
                <w:szCs w:val="20"/>
              </w:rPr>
            </w:pPr>
          </w:p>
        </w:tc>
        <w:tc>
          <w:tcPr>
            <w:tcW w:w="956" w:type="dxa"/>
            <w:tcBorders>
              <w:top w:val="nil"/>
              <w:left w:val="nil"/>
              <w:bottom w:val="nil"/>
              <w:right w:val="nil"/>
            </w:tcBorders>
            <w:shd w:val="clear" w:color="auto" w:fill="auto"/>
            <w:noWrap/>
            <w:vAlign w:val="bottom"/>
            <w:hideMark/>
          </w:tcPr>
          <w:p w:rsidR="003D3E70" w:rsidRPr="003D3E70" w:rsidRDefault="003D3E70" w:rsidP="003D3E70">
            <w:pPr>
              <w:rPr>
                <w:sz w:val="20"/>
                <w:szCs w:val="20"/>
              </w:rPr>
            </w:pPr>
          </w:p>
        </w:tc>
        <w:tc>
          <w:tcPr>
            <w:tcW w:w="1074" w:type="dxa"/>
            <w:tcBorders>
              <w:top w:val="nil"/>
              <w:left w:val="nil"/>
              <w:bottom w:val="nil"/>
              <w:right w:val="nil"/>
            </w:tcBorders>
            <w:shd w:val="clear" w:color="auto" w:fill="auto"/>
            <w:noWrap/>
            <w:vAlign w:val="bottom"/>
            <w:hideMark/>
          </w:tcPr>
          <w:p w:rsidR="003D3E70" w:rsidRPr="003D3E70" w:rsidRDefault="003D3E70" w:rsidP="003D3E70">
            <w:pPr>
              <w:rPr>
                <w:sz w:val="20"/>
                <w:szCs w:val="20"/>
              </w:rPr>
            </w:pPr>
          </w:p>
        </w:tc>
        <w:tc>
          <w:tcPr>
            <w:tcW w:w="956" w:type="dxa"/>
            <w:tcBorders>
              <w:top w:val="nil"/>
              <w:left w:val="nil"/>
              <w:bottom w:val="nil"/>
              <w:right w:val="nil"/>
            </w:tcBorders>
            <w:shd w:val="clear" w:color="auto" w:fill="auto"/>
            <w:noWrap/>
            <w:vAlign w:val="bottom"/>
            <w:hideMark/>
          </w:tcPr>
          <w:p w:rsidR="003D3E70" w:rsidRPr="003D3E70" w:rsidRDefault="003D3E70" w:rsidP="003D3E70">
            <w:pPr>
              <w:rPr>
                <w:sz w:val="20"/>
                <w:szCs w:val="20"/>
              </w:rPr>
            </w:pPr>
          </w:p>
        </w:tc>
      </w:tr>
      <w:tr w:rsidR="003D3E70" w:rsidRPr="003D3E70" w:rsidTr="00247311">
        <w:trPr>
          <w:trHeight w:val="372"/>
        </w:trPr>
        <w:tc>
          <w:tcPr>
            <w:tcW w:w="3352" w:type="dxa"/>
            <w:tcBorders>
              <w:top w:val="nil"/>
              <w:left w:val="nil"/>
              <w:bottom w:val="nil"/>
              <w:right w:val="nil"/>
            </w:tcBorders>
            <w:shd w:val="clear" w:color="auto" w:fill="auto"/>
            <w:noWrap/>
            <w:vAlign w:val="bottom"/>
            <w:hideMark/>
          </w:tcPr>
          <w:p w:rsidR="003D3E70" w:rsidRPr="003D3E70" w:rsidRDefault="003D3E70" w:rsidP="003D3E70">
            <w:pPr>
              <w:rPr>
                <w:rFonts w:ascii="Arial" w:hAnsi="Arial" w:cs="Arial"/>
                <w:b/>
                <w:bCs/>
                <w:color w:val="002060"/>
                <w:sz w:val="20"/>
                <w:szCs w:val="20"/>
              </w:rPr>
            </w:pPr>
            <w:r w:rsidRPr="003D3E70">
              <w:rPr>
                <w:rFonts w:ascii="Arial" w:hAnsi="Arial" w:cs="Arial"/>
                <w:b/>
                <w:bCs/>
                <w:color w:val="002060"/>
                <w:sz w:val="20"/>
                <w:szCs w:val="20"/>
              </w:rPr>
              <w:t>BALANÇ DE SITUACIÓ</w:t>
            </w:r>
          </w:p>
        </w:tc>
        <w:tc>
          <w:tcPr>
            <w:tcW w:w="1348" w:type="dxa"/>
            <w:tcBorders>
              <w:top w:val="nil"/>
              <w:left w:val="nil"/>
              <w:bottom w:val="nil"/>
              <w:right w:val="nil"/>
            </w:tcBorders>
            <w:shd w:val="clear" w:color="auto" w:fill="auto"/>
            <w:noWrap/>
            <w:vAlign w:val="bottom"/>
            <w:hideMark/>
          </w:tcPr>
          <w:p w:rsidR="003D3E70" w:rsidRPr="003D3E70" w:rsidRDefault="003D3E70" w:rsidP="003D3E70">
            <w:pPr>
              <w:rPr>
                <w:rFonts w:ascii="Arial" w:hAnsi="Arial" w:cs="Arial"/>
                <w:b/>
                <w:bCs/>
                <w:color w:val="002060"/>
                <w:sz w:val="20"/>
                <w:szCs w:val="20"/>
              </w:rPr>
            </w:pPr>
          </w:p>
        </w:tc>
        <w:tc>
          <w:tcPr>
            <w:tcW w:w="1156" w:type="dxa"/>
            <w:tcBorders>
              <w:top w:val="nil"/>
              <w:left w:val="nil"/>
              <w:bottom w:val="nil"/>
              <w:right w:val="nil"/>
            </w:tcBorders>
            <w:shd w:val="clear" w:color="auto" w:fill="auto"/>
            <w:noWrap/>
            <w:vAlign w:val="bottom"/>
            <w:hideMark/>
          </w:tcPr>
          <w:p w:rsidR="003D3E70" w:rsidRPr="003D3E70" w:rsidRDefault="003D3E70" w:rsidP="003D3E70">
            <w:pPr>
              <w:rPr>
                <w:sz w:val="20"/>
                <w:szCs w:val="20"/>
              </w:rPr>
            </w:pPr>
          </w:p>
        </w:tc>
        <w:tc>
          <w:tcPr>
            <w:tcW w:w="1348" w:type="dxa"/>
            <w:tcBorders>
              <w:top w:val="nil"/>
              <w:left w:val="nil"/>
              <w:bottom w:val="nil"/>
              <w:right w:val="nil"/>
            </w:tcBorders>
            <w:shd w:val="clear" w:color="auto" w:fill="auto"/>
            <w:noWrap/>
            <w:vAlign w:val="bottom"/>
            <w:hideMark/>
          </w:tcPr>
          <w:p w:rsidR="003D3E70" w:rsidRPr="003D3E70" w:rsidRDefault="003D3E70" w:rsidP="003D3E70">
            <w:pPr>
              <w:rPr>
                <w:sz w:val="20"/>
                <w:szCs w:val="20"/>
              </w:rPr>
            </w:pPr>
          </w:p>
        </w:tc>
        <w:tc>
          <w:tcPr>
            <w:tcW w:w="1156" w:type="dxa"/>
            <w:tcBorders>
              <w:top w:val="nil"/>
              <w:left w:val="nil"/>
              <w:bottom w:val="nil"/>
              <w:right w:val="nil"/>
            </w:tcBorders>
            <w:shd w:val="clear" w:color="auto" w:fill="auto"/>
            <w:noWrap/>
            <w:vAlign w:val="bottom"/>
            <w:hideMark/>
          </w:tcPr>
          <w:p w:rsidR="003D3E70" w:rsidRPr="003D3E70" w:rsidRDefault="003D3E70" w:rsidP="003D3E70">
            <w:pPr>
              <w:rPr>
                <w:sz w:val="20"/>
                <w:szCs w:val="20"/>
              </w:rPr>
            </w:pPr>
          </w:p>
        </w:tc>
        <w:tc>
          <w:tcPr>
            <w:tcW w:w="1350" w:type="dxa"/>
            <w:tcBorders>
              <w:top w:val="nil"/>
              <w:left w:val="nil"/>
              <w:bottom w:val="nil"/>
              <w:right w:val="nil"/>
            </w:tcBorders>
            <w:shd w:val="clear" w:color="auto" w:fill="auto"/>
            <w:noWrap/>
            <w:vAlign w:val="bottom"/>
            <w:hideMark/>
          </w:tcPr>
          <w:p w:rsidR="003D3E70" w:rsidRPr="003D3E70" w:rsidRDefault="003D3E70" w:rsidP="003D3E70">
            <w:pPr>
              <w:rPr>
                <w:sz w:val="20"/>
                <w:szCs w:val="20"/>
              </w:rPr>
            </w:pPr>
          </w:p>
        </w:tc>
        <w:tc>
          <w:tcPr>
            <w:tcW w:w="956" w:type="dxa"/>
            <w:tcBorders>
              <w:top w:val="nil"/>
              <w:left w:val="nil"/>
              <w:bottom w:val="nil"/>
              <w:right w:val="nil"/>
            </w:tcBorders>
            <w:shd w:val="clear" w:color="auto" w:fill="auto"/>
            <w:noWrap/>
            <w:vAlign w:val="bottom"/>
            <w:hideMark/>
          </w:tcPr>
          <w:p w:rsidR="003D3E70" w:rsidRPr="003D3E70" w:rsidRDefault="003D3E70" w:rsidP="003D3E70">
            <w:pPr>
              <w:rPr>
                <w:sz w:val="20"/>
                <w:szCs w:val="20"/>
              </w:rPr>
            </w:pPr>
          </w:p>
        </w:tc>
        <w:tc>
          <w:tcPr>
            <w:tcW w:w="1074" w:type="dxa"/>
            <w:tcBorders>
              <w:top w:val="nil"/>
              <w:left w:val="nil"/>
              <w:bottom w:val="nil"/>
              <w:right w:val="nil"/>
            </w:tcBorders>
            <w:shd w:val="clear" w:color="auto" w:fill="auto"/>
            <w:noWrap/>
            <w:vAlign w:val="bottom"/>
            <w:hideMark/>
          </w:tcPr>
          <w:p w:rsidR="003D3E70" w:rsidRPr="003D3E70" w:rsidRDefault="003D3E70" w:rsidP="003D3E70">
            <w:pPr>
              <w:rPr>
                <w:sz w:val="20"/>
                <w:szCs w:val="20"/>
              </w:rPr>
            </w:pPr>
          </w:p>
        </w:tc>
        <w:tc>
          <w:tcPr>
            <w:tcW w:w="956" w:type="dxa"/>
            <w:tcBorders>
              <w:top w:val="nil"/>
              <w:left w:val="nil"/>
              <w:bottom w:val="nil"/>
              <w:right w:val="nil"/>
            </w:tcBorders>
            <w:shd w:val="clear" w:color="auto" w:fill="auto"/>
            <w:noWrap/>
            <w:vAlign w:val="bottom"/>
            <w:hideMark/>
          </w:tcPr>
          <w:p w:rsidR="003D3E70" w:rsidRPr="003D3E70" w:rsidRDefault="003D3E70" w:rsidP="003D3E70">
            <w:pPr>
              <w:rPr>
                <w:sz w:val="20"/>
                <w:szCs w:val="20"/>
              </w:rPr>
            </w:pPr>
          </w:p>
        </w:tc>
        <w:tc>
          <w:tcPr>
            <w:tcW w:w="1074" w:type="dxa"/>
            <w:tcBorders>
              <w:top w:val="nil"/>
              <w:left w:val="nil"/>
              <w:bottom w:val="nil"/>
              <w:right w:val="nil"/>
            </w:tcBorders>
            <w:shd w:val="clear" w:color="auto" w:fill="auto"/>
            <w:noWrap/>
            <w:vAlign w:val="bottom"/>
            <w:hideMark/>
          </w:tcPr>
          <w:p w:rsidR="003D3E70" w:rsidRPr="003D3E70" w:rsidRDefault="003D3E70" w:rsidP="003D3E70">
            <w:pPr>
              <w:rPr>
                <w:sz w:val="20"/>
                <w:szCs w:val="20"/>
              </w:rPr>
            </w:pPr>
          </w:p>
        </w:tc>
        <w:tc>
          <w:tcPr>
            <w:tcW w:w="956" w:type="dxa"/>
            <w:tcBorders>
              <w:top w:val="nil"/>
              <w:left w:val="nil"/>
              <w:bottom w:val="nil"/>
              <w:right w:val="nil"/>
            </w:tcBorders>
            <w:shd w:val="clear" w:color="auto" w:fill="auto"/>
            <w:noWrap/>
            <w:vAlign w:val="bottom"/>
            <w:hideMark/>
          </w:tcPr>
          <w:p w:rsidR="003D3E70" w:rsidRPr="003D3E70" w:rsidRDefault="003D3E70" w:rsidP="003D3E70">
            <w:pPr>
              <w:rPr>
                <w:sz w:val="20"/>
                <w:szCs w:val="20"/>
              </w:rPr>
            </w:pPr>
          </w:p>
        </w:tc>
      </w:tr>
      <w:tr w:rsidR="003D3E70" w:rsidRPr="003D3E70" w:rsidTr="00247311">
        <w:trPr>
          <w:trHeight w:val="372"/>
        </w:trPr>
        <w:tc>
          <w:tcPr>
            <w:tcW w:w="3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D3E70" w:rsidRPr="003D3E70" w:rsidRDefault="003D3E70" w:rsidP="003D3E70">
            <w:pPr>
              <w:rPr>
                <w:rFonts w:ascii="Arial" w:hAnsi="Arial" w:cs="Arial"/>
                <w:b/>
                <w:bCs/>
                <w:color w:val="002060"/>
                <w:sz w:val="20"/>
                <w:szCs w:val="20"/>
              </w:rPr>
            </w:pPr>
            <w:r w:rsidRPr="003D3E70">
              <w:rPr>
                <w:rFonts w:ascii="Arial" w:hAnsi="Arial" w:cs="Arial"/>
                <w:b/>
                <w:bCs/>
                <w:color w:val="002060"/>
                <w:sz w:val="20"/>
                <w:szCs w:val="20"/>
              </w:rPr>
              <w:t>ACTIU</w:t>
            </w:r>
          </w:p>
        </w:tc>
        <w:tc>
          <w:tcPr>
            <w:tcW w:w="25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D3E70" w:rsidRPr="003D3E70" w:rsidRDefault="003D3E70" w:rsidP="003D3E70">
            <w:pPr>
              <w:jc w:val="center"/>
              <w:rPr>
                <w:rFonts w:ascii="Arial" w:hAnsi="Arial" w:cs="Arial"/>
                <w:b/>
                <w:bCs/>
                <w:color w:val="002060"/>
                <w:sz w:val="20"/>
                <w:szCs w:val="20"/>
              </w:rPr>
            </w:pPr>
            <w:r w:rsidRPr="003D3E70">
              <w:rPr>
                <w:rFonts w:ascii="Arial" w:hAnsi="Arial" w:cs="Arial"/>
                <w:b/>
                <w:bCs/>
                <w:color w:val="002060"/>
                <w:sz w:val="20"/>
                <w:szCs w:val="20"/>
              </w:rPr>
              <w:t>2019</w:t>
            </w:r>
          </w:p>
        </w:tc>
        <w:tc>
          <w:tcPr>
            <w:tcW w:w="25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D3E70" w:rsidRPr="003D3E70" w:rsidRDefault="003D3E70" w:rsidP="003D3E70">
            <w:pPr>
              <w:jc w:val="center"/>
              <w:rPr>
                <w:rFonts w:ascii="Arial" w:hAnsi="Arial" w:cs="Arial"/>
                <w:b/>
                <w:bCs/>
                <w:color w:val="002060"/>
                <w:sz w:val="20"/>
                <w:szCs w:val="20"/>
              </w:rPr>
            </w:pPr>
            <w:r w:rsidRPr="003D3E70">
              <w:rPr>
                <w:rFonts w:ascii="Arial" w:hAnsi="Arial" w:cs="Arial"/>
                <w:b/>
                <w:bCs/>
                <w:color w:val="002060"/>
                <w:sz w:val="20"/>
                <w:szCs w:val="20"/>
              </w:rPr>
              <w:t>2018</w:t>
            </w:r>
          </w:p>
        </w:tc>
        <w:tc>
          <w:tcPr>
            <w:tcW w:w="2306" w:type="dxa"/>
            <w:gridSpan w:val="2"/>
            <w:tcBorders>
              <w:top w:val="single" w:sz="4" w:space="0" w:color="auto"/>
              <w:left w:val="nil"/>
              <w:bottom w:val="single" w:sz="4" w:space="0" w:color="auto"/>
              <w:right w:val="single" w:sz="4" w:space="0" w:color="auto"/>
            </w:tcBorders>
            <w:shd w:val="clear" w:color="auto" w:fill="auto"/>
            <w:noWrap/>
            <w:vAlign w:val="bottom"/>
            <w:hideMark/>
          </w:tcPr>
          <w:p w:rsidR="003D3E70" w:rsidRPr="003D3E70" w:rsidRDefault="003D3E70" w:rsidP="003D3E70">
            <w:pPr>
              <w:jc w:val="center"/>
              <w:rPr>
                <w:rFonts w:ascii="Arial" w:hAnsi="Arial" w:cs="Arial"/>
                <w:b/>
                <w:bCs/>
                <w:color w:val="002060"/>
                <w:sz w:val="20"/>
                <w:szCs w:val="20"/>
              </w:rPr>
            </w:pPr>
            <w:r w:rsidRPr="003D3E70">
              <w:rPr>
                <w:rFonts w:ascii="Arial" w:hAnsi="Arial" w:cs="Arial"/>
                <w:b/>
                <w:bCs/>
                <w:color w:val="002060"/>
                <w:sz w:val="20"/>
                <w:szCs w:val="20"/>
              </w:rPr>
              <w:t>2017</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3D3E70" w:rsidRPr="003D3E70" w:rsidRDefault="003D3E70" w:rsidP="003D3E70">
            <w:pPr>
              <w:jc w:val="center"/>
              <w:rPr>
                <w:rFonts w:ascii="Arial" w:hAnsi="Arial" w:cs="Arial"/>
                <w:b/>
                <w:bCs/>
                <w:color w:val="002060"/>
                <w:sz w:val="20"/>
                <w:szCs w:val="20"/>
              </w:rPr>
            </w:pPr>
            <w:r w:rsidRPr="003D3E70">
              <w:rPr>
                <w:rFonts w:ascii="Arial" w:hAnsi="Arial" w:cs="Arial"/>
                <w:b/>
                <w:bCs/>
                <w:color w:val="002060"/>
                <w:sz w:val="20"/>
                <w:szCs w:val="20"/>
              </w:rPr>
              <w:t>2016</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D3E70" w:rsidRPr="003D3E70" w:rsidRDefault="003D3E70" w:rsidP="003D3E70">
            <w:pPr>
              <w:jc w:val="center"/>
              <w:rPr>
                <w:rFonts w:ascii="Arial" w:hAnsi="Arial" w:cs="Arial"/>
                <w:b/>
                <w:bCs/>
                <w:color w:val="002060"/>
                <w:sz w:val="20"/>
                <w:szCs w:val="20"/>
              </w:rPr>
            </w:pPr>
            <w:r w:rsidRPr="003D3E70">
              <w:rPr>
                <w:rFonts w:ascii="Arial" w:hAnsi="Arial" w:cs="Arial"/>
                <w:b/>
                <w:bCs/>
                <w:color w:val="002060"/>
                <w:sz w:val="20"/>
                <w:szCs w:val="20"/>
              </w:rPr>
              <w:t>2015</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3D3E70" w:rsidRPr="003D3E70" w:rsidRDefault="003D3E70" w:rsidP="003D3E70">
            <w:pPr>
              <w:jc w:val="center"/>
              <w:rPr>
                <w:rFonts w:ascii="Arial" w:hAnsi="Arial" w:cs="Arial"/>
                <w:b/>
                <w:bCs/>
                <w:color w:val="002060"/>
                <w:sz w:val="20"/>
                <w:szCs w:val="20"/>
              </w:rPr>
            </w:pPr>
            <w:r w:rsidRPr="003D3E70">
              <w:rPr>
                <w:rFonts w:ascii="Arial" w:hAnsi="Arial" w:cs="Arial"/>
                <w:b/>
                <w:bCs/>
                <w:color w:val="002060"/>
                <w:sz w:val="20"/>
                <w:szCs w:val="20"/>
              </w:rPr>
              <w:t> </w:t>
            </w:r>
          </w:p>
        </w:tc>
      </w:tr>
      <w:tr w:rsidR="003D3E70" w:rsidRPr="003D3E70" w:rsidTr="00247311">
        <w:trPr>
          <w:trHeight w:val="372"/>
        </w:trPr>
        <w:tc>
          <w:tcPr>
            <w:tcW w:w="3352" w:type="dxa"/>
            <w:vMerge/>
            <w:tcBorders>
              <w:top w:val="single" w:sz="4" w:space="0" w:color="auto"/>
              <w:left w:val="single" w:sz="4" w:space="0" w:color="auto"/>
              <w:bottom w:val="single" w:sz="4" w:space="0" w:color="000000"/>
              <w:right w:val="single" w:sz="4" w:space="0" w:color="auto"/>
            </w:tcBorders>
            <w:vAlign w:val="center"/>
            <w:hideMark/>
          </w:tcPr>
          <w:p w:rsidR="003D3E70" w:rsidRPr="003D3E70" w:rsidRDefault="003D3E70" w:rsidP="003D3E70">
            <w:pPr>
              <w:rPr>
                <w:rFonts w:ascii="Arial" w:hAnsi="Arial" w:cs="Arial"/>
                <w:b/>
                <w:bCs/>
                <w:color w:val="002060"/>
                <w:sz w:val="20"/>
                <w:szCs w:val="20"/>
              </w:rPr>
            </w:pPr>
          </w:p>
        </w:tc>
        <w:tc>
          <w:tcPr>
            <w:tcW w:w="1348"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center"/>
              <w:rPr>
                <w:rFonts w:ascii="Arial" w:hAnsi="Arial" w:cs="Arial"/>
                <w:b/>
                <w:bCs/>
                <w:color w:val="002060"/>
                <w:sz w:val="20"/>
                <w:szCs w:val="20"/>
              </w:rPr>
            </w:pPr>
            <w:r w:rsidRPr="003D3E70">
              <w:rPr>
                <w:rFonts w:ascii="Arial" w:hAnsi="Arial" w:cs="Arial"/>
                <w:b/>
                <w:bCs/>
                <w:color w:val="002060"/>
                <w:sz w:val="20"/>
                <w:szCs w:val="20"/>
              </w:rPr>
              <w:t>milers d'€</w:t>
            </w:r>
          </w:p>
        </w:tc>
        <w:tc>
          <w:tcPr>
            <w:tcW w:w="11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center"/>
              <w:rPr>
                <w:rFonts w:ascii="Arial" w:hAnsi="Arial" w:cs="Arial"/>
                <w:b/>
                <w:bCs/>
                <w:color w:val="002060"/>
                <w:sz w:val="20"/>
                <w:szCs w:val="20"/>
              </w:rPr>
            </w:pPr>
            <w:r w:rsidRPr="003D3E70">
              <w:rPr>
                <w:rFonts w:ascii="Arial" w:hAnsi="Arial" w:cs="Arial"/>
                <w:b/>
                <w:bCs/>
                <w:color w:val="002060"/>
                <w:sz w:val="20"/>
                <w:szCs w:val="20"/>
              </w:rPr>
              <w:t>%</w:t>
            </w:r>
          </w:p>
        </w:tc>
        <w:tc>
          <w:tcPr>
            <w:tcW w:w="1348"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center"/>
              <w:rPr>
                <w:rFonts w:ascii="Arial" w:hAnsi="Arial" w:cs="Arial"/>
                <w:b/>
                <w:bCs/>
                <w:color w:val="002060"/>
                <w:sz w:val="20"/>
                <w:szCs w:val="20"/>
              </w:rPr>
            </w:pPr>
            <w:r w:rsidRPr="003D3E70">
              <w:rPr>
                <w:rFonts w:ascii="Arial" w:hAnsi="Arial" w:cs="Arial"/>
                <w:b/>
                <w:bCs/>
                <w:color w:val="002060"/>
                <w:sz w:val="20"/>
                <w:szCs w:val="20"/>
              </w:rPr>
              <w:t>milers d'€</w:t>
            </w:r>
          </w:p>
        </w:tc>
        <w:tc>
          <w:tcPr>
            <w:tcW w:w="11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center"/>
              <w:rPr>
                <w:rFonts w:ascii="Arial" w:hAnsi="Arial" w:cs="Arial"/>
                <w:b/>
                <w:bCs/>
                <w:color w:val="002060"/>
                <w:sz w:val="20"/>
                <w:szCs w:val="20"/>
              </w:rPr>
            </w:pPr>
            <w:r w:rsidRPr="003D3E70">
              <w:rPr>
                <w:rFonts w:ascii="Arial" w:hAnsi="Arial" w:cs="Arial"/>
                <w:b/>
                <w:bCs/>
                <w:color w:val="002060"/>
                <w:sz w:val="20"/>
                <w:szCs w:val="20"/>
              </w:rPr>
              <w:t>%</w:t>
            </w:r>
          </w:p>
        </w:tc>
        <w:tc>
          <w:tcPr>
            <w:tcW w:w="1350"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center"/>
              <w:rPr>
                <w:rFonts w:ascii="Arial" w:hAnsi="Arial" w:cs="Arial"/>
                <w:b/>
                <w:bCs/>
                <w:color w:val="002060"/>
                <w:sz w:val="20"/>
                <w:szCs w:val="20"/>
              </w:rPr>
            </w:pPr>
            <w:r w:rsidRPr="003D3E70">
              <w:rPr>
                <w:rFonts w:ascii="Arial" w:hAnsi="Arial" w:cs="Arial"/>
                <w:b/>
                <w:bCs/>
                <w:color w:val="002060"/>
                <w:sz w:val="20"/>
                <w:szCs w:val="20"/>
              </w:rPr>
              <w:t>milers d'€</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center"/>
              <w:rPr>
                <w:rFonts w:ascii="Arial" w:hAnsi="Arial" w:cs="Arial"/>
                <w:b/>
                <w:bCs/>
                <w:color w:val="002060"/>
                <w:sz w:val="20"/>
                <w:szCs w:val="20"/>
              </w:rPr>
            </w:pPr>
            <w:r w:rsidRPr="003D3E70">
              <w:rPr>
                <w:rFonts w:ascii="Arial" w:hAnsi="Arial" w:cs="Arial"/>
                <w:b/>
                <w:bCs/>
                <w:color w:val="002060"/>
                <w:sz w:val="20"/>
                <w:szCs w:val="20"/>
              </w:rPr>
              <w:t>%</w:t>
            </w:r>
          </w:p>
        </w:tc>
        <w:tc>
          <w:tcPr>
            <w:tcW w:w="1074"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center"/>
              <w:rPr>
                <w:rFonts w:ascii="Arial" w:hAnsi="Arial" w:cs="Arial"/>
                <w:b/>
                <w:bCs/>
                <w:color w:val="002060"/>
                <w:sz w:val="20"/>
                <w:szCs w:val="20"/>
              </w:rPr>
            </w:pPr>
            <w:r w:rsidRPr="003D3E70">
              <w:rPr>
                <w:rFonts w:ascii="Arial" w:hAnsi="Arial" w:cs="Arial"/>
                <w:b/>
                <w:bCs/>
                <w:color w:val="002060"/>
                <w:sz w:val="20"/>
                <w:szCs w:val="20"/>
              </w:rPr>
              <w:t>milers d'€</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center"/>
              <w:rPr>
                <w:rFonts w:ascii="Arial" w:hAnsi="Arial" w:cs="Arial"/>
                <w:b/>
                <w:bCs/>
                <w:color w:val="002060"/>
                <w:sz w:val="20"/>
                <w:szCs w:val="20"/>
              </w:rPr>
            </w:pPr>
            <w:r w:rsidRPr="003D3E70">
              <w:rPr>
                <w:rFonts w:ascii="Arial" w:hAnsi="Arial" w:cs="Arial"/>
                <w:b/>
                <w:bCs/>
                <w:color w:val="002060"/>
                <w:sz w:val="20"/>
                <w:szCs w:val="20"/>
              </w:rPr>
              <w:t>%</w:t>
            </w:r>
          </w:p>
        </w:tc>
        <w:tc>
          <w:tcPr>
            <w:tcW w:w="1074"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center"/>
              <w:rPr>
                <w:rFonts w:ascii="Arial" w:hAnsi="Arial" w:cs="Arial"/>
                <w:b/>
                <w:bCs/>
                <w:color w:val="002060"/>
                <w:sz w:val="20"/>
                <w:szCs w:val="20"/>
              </w:rPr>
            </w:pPr>
            <w:r w:rsidRPr="003D3E70">
              <w:rPr>
                <w:rFonts w:ascii="Arial" w:hAnsi="Arial" w:cs="Arial"/>
                <w:b/>
                <w:bCs/>
                <w:color w:val="002060"/>
                <w:sz w:val="20"/>
                <w:szCs w:val="20"/>
              </w:rPr>
              <w:t>milers d'€</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center"/>
              <w:rPr>
                <w:rFonts w:ascii="Arial" w:hAnsi="Arial" w:cs="Arial"/>
                <w:b/>
                <w:bCs/>
                <w:color w:val="002060"/>
                <w:sz w:val="20"/>
                <w:szCs w:val="20"/>
              </w:rPr>
            </w:pPr>
            <w:r w:rsidRPr="003D3E70">
              <w:rPr>
                <w:rFonts w:ascii="Arial" w:hAnsi="Arial" w:cs="Arial"/>
                <w:b/>
                <w:bCs/>
                <w:color w:val="002060"/>
                <w:sz w:val="20"/>
                <w:szCs w:val="20"/>
              </w:rPr>
              <w:t>%</w:t>
            </w:r>
          </w:p>
        </w:tc>
      </w:tr>
      <w:tr w:rsidR="003D3E70" w:rsidRPr="003D3E70" w:rsidTr="00247311">
        <w:trPr>
          <w:trHeight w:val="372"/>
        </w:trPr>
        <w:tc>
          <w:tcPr>
            <w:tcW w:w="3352" w:type="dxa"/>
            <w:tcBorders>
              <w:top w:val="nil"/>
              <w:left w:val="single" w:sz="4" w:space="0" w:color="auto"/>
              <w:bottom w:val="single" w:sz="4" w:space="0" w:color="auto"/>
              <w:right w:val="single" w:sz="4" w:space="0" w:color="auto"/>
            </w:tcBorders>
            <w:shd w:val="clear" w:color="000000" w:fill="E7E6E6"/>
            <w:noWrap/>
            <w:vAlign w:val="bottom"/>
            <w:hideMark/>
          </w:tcPr>
          <w:p w:rsidR="003D3E70" w:rsidRPr="003D3E70" w:rsidRDefault="003D3E70" w:rsidP="003D3E70">
            <w:pPr>
              <w:rPr>
                <w:rFonts w:ascii="Arial" w:hAnsi="Arial" w:cs="Arial"/>
                <w:b/>
                <w:bCs/>
                <w:color w:val="002060"/>
                <w:sz w:val="20"/>
                <w:szCs w:val="20"/>
              </w:rPr>
            </w:pPr>
            <w:r w:rsidRPr="003D3E70">
              <w:rPr>
                <w:rFonts w:ascii="Arial" w:hAnsi="Arial" w:cs="Arial"/>
                <w:b/>
                <w:bCs/>
                <w:color w:val="002060"/>
                <w:sz w:val="20"/>
                <w:szCs w:val="20"/>
              </w:rPr>
              <w:t xml:space="preserve"> A) ACTIU NO CORRENT</w:t>
            </w:r>
          </w:p>
        </w:tc>
        <w:tc>
          <w:tcPr>
            <w:tcW w:w="1348"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185.434</w:t>
            </w:r>
          </w:p>
        </w:tc>
        <w:tc>
          <w:tcPr>
            <w:tcW w:w="1156"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56,50%</w:t>
            </w:r>
          </w:p>
        </w:tc>
        <w:tc>
          <w:tcPr>
            <w:tcW w:w="1348"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150.955</w:t>
            </w:r>
          </w:p>
        </w:tc>
        <w:tc>
          <w:tcPr>
            <w:tcW w:w="1156"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56,23%</w:t>
            </w:r>
          </w:p>
        </w:tc>
        <w:tc>
          <w:tcPr>
            <w:tcW w:w="1350"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125.254</w:t>
            </w:r>
          </w:p>
        </w:tc>
        <w:tc>
          <w:tcPr>
            <w:tcW w:w="956"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52,27%</w:t>
            </w:r>
          </w:p>
        </w:tc>
        <w:tc>
          <w:tcPr>
            <w:tcW w:w="1074"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104.804</w:t>
            </w:r>
          </w:p>
        </w:tc>
        <w:tc>
          <w:tcPr>
            <w:tcW w:w="956"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48,08%</w:t>
            </w:r>
          </w:p>
        </w:tc>
        <w:tc>
          <w:tcPr>
            <w:tcW w:w="1074"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77.946</w:t>
            </w:r>
          </w:p>
        </w:tc>
        <w:tc>
          <w:tcPr>
            <w:tcW w:w="956"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40,60%</w:t>
            </w:r>
          </w:p>
        </w:tc>
      </w:tr>
      <w:tr w:rsidR="003D3E70" w:rsidRPr="003D3E70" w:rsidTr="00247311">
        <w:trPr>
          <w:trHeight w:val="372"/>
        </w:trPr>
        <w:tc>
          <w:tcPr>
            <w:tcW w:w="3352" w:type="dxa"/>
            <w:tcBorders>
              <w:top w:val="nil"/>
              <w:left w:val="single" w:sz="4" w:space="0" w:color="auto"/>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Immobilitzat intangible</w:t>
            </w:r>
          </w:p>
        </w:tc>
        <w:tc>
          <w:tcPr>
            <w:tcW w:w="1348"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2.760</w:t>
            </w:r>
          </w:p>
        </w:tc>
        <w:tc>
          <w:tcPr>
            <w:tcW w:w="11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0,84%</w:t>
            </w:r>
          </w:p>
        </w:tc>
        <w:tc>
          <w:tcPr>
            <w:tcW w:w="1348"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2.498</w:t>
            </w:r>
          </w:p>
        </w:tc>
        <w:tc>
          <w:tcPr>
            <w:tcW w:w="11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0,93%</w:t>
            </w:r>
          </w:p>
        </w:tc>
        <w:tc>
          <w:tcPr>
            <w:tcW w:w="1350"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2.398</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1,00%</w:t>
            </w:r>
          </w:p>
        </w:tc>
        <w:tc>
          <w:tcPr>
            <w:tcW w:w="1074"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2.336</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1,07%</w:t>
            </w:r>
          </w:p>
        </w:tc>
        <w:tc>
          <w:tcPr>
            <w:tcW w:w="1074"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2.245</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1,17%</w:t>
            </w:r>
          </w:p>
        </w:tc>
      </w:tr>
      <w:tr w:rsidR="003D3E70" w:rsidRPr="003D3E70" w:rsidTr="00247311">
        <w:trPr>
          <w:trHeight w:val="372"/>
        </w:trPr>
        <w:tc>
          <w:tcPr>
            <w:tcW w:w="3352" w:type="dxa"/>
            <w:tcBorders>
              <w:top w:val="nil"/>
              <w:left w:val="single" w:sz="4" w:space="0" w:color="auto"/>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Immobilitzat material</w:t>
            </w:r>
          </w:p>
        </w:tc>
        <w:tc>
          <w:tcPr>
            <w:tcW w:w="1348"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165.859</w:t>
            </w:r>
          </w:p>
        </w:tc>
        <w:tc>
          <w:tcPr>
            <w:tcW w:w="11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50,53%</w:t>
            </w:r>
          </w:p>
        </w:tc>
        <w:tc>
          <w:tcPr>
            <w:tcW w:w="1348"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134.847</w:t>
            </w:r>
          </w:p>
        </w:tc>
        <w:tc>
          <w:tcPr>
            <w:tcW w:w="11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50,23%</w:t>
            </w:r>
          </w:p>
        </w:tc>
        <w:tc>
          <w:tcPr>
            <w:tcW w:w="1350"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111.924</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46,71%</w:t>
            </w:r>
          </w:p>
        </w:tc>
        <w:tc>
          <w:tcPr>
            <w:tcW w:w="1074"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91.574</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42,01%</w:t>
            </w:r>
          </w:p>
        </w:tc>
        <w:tc>
          <w:tcPr>
            <w:tcW w:w="1074"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68.982</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35,93%</w:t>
            </w:r>
          </w:p>
        </w:tc>
      </w:tr>
      <w:tr w:rsidR="003D3E70" w:rsidRPr="003D3E70" w:rsidTr="00247311">
        <w:trPr>
          <w:trHeight w:val="372"/>
        </w:trPr>
        <w:tc>
          <w:tcPr>
            <w:tcW w:w="3352" w:type="dxa"/>
            <w:tcBorders>
              <w:top w:val="nil"/>
              <w:left w:val="single" w:sz="4" w:space="0" w:color="auto"/>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Altres actius a llarg termini</w:t>
            </w:r>
          </w:p>
        </w:tc>
        <w:tc>
          <w:tcPr>
            <w:tcW w:w="1348"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16.815</w:t>
            </w:r>
          </w:p>
        </w:tc>
        <w:tc>
          <w:tcPr>
            <w:tcW w:w="11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5,12%</w:t>
            </w:r>
          </w:p>
        </w:tc>
        <w:tc>
          <w:tcPr>
            <w:tcW w:w="1348"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13.610</w:t>
            </w:r>
          </w:p>
        </w:tc>
        <w:tc>
          <w:tcPr>
            <w:tcW w:w="11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5,07%</w:t>
            </w:r>
          </w:p>
        </w:tc>
        <w:tc>
          <w:tcPr>
            <w:tcW w:w="1350"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10.932</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4,56%</w:t>
            </w:r>
          </w:p>
        </w:tc>
        <w:tc>
          <w:tcPr>
            <w:tcW w:w="1074"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10.894</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5,00%</w:t>
            </w:r>
          </w:p>
        </w:tc>
        <w:tc>
          <w:tcPr>
            <w:tcW w:w="1074"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6.719</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3,50%</w:t>
            </w:r>
          </w:p>
        </w:tc>
      </w:tr>
      <w:tr w:rsidR="003D3E70" w:rsidRPr="003D3E70" w:rsidTr="00247311">
        <w:trPr>
          <w:trHeight w:val="372"/>
        </w:trPr>
        <w:tc>
          <w:tcPr>
            <w:tcW w:w="3352" w:type="dxa"/>
            <w:tcBorders>
              <w:top w:val="nil"/>
              <w:left w:val="single" w:sz="4" w:space="0" w:color="auto"/>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 </w:t>
            </w:r>
          </w:p>
        </w:tc>
        <w:tc>
          <w:tcPr>
            <w:tcW w:w="1348"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 </w:t>
            </w:r>
          </w:p>
        </w:tc>
        <w:tc>
          <w:tcPr>
            <w:tcW w:w="1348"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 </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 </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 </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 </w:t>
            </w:r>
          </w:p>
        </w:tc>
      </w:tr>
      <w:tr w:rsidR="003D3E70" w:rsidRPr="003D3E70" w:rsidTr="00247311">
        <w:trPr>
          <w:trHeight w:val="372"/>
        </w:trPr>
        <w:tc>
          <w:tcPr>
            <w:tcW w:w="3352" w:type="dxa"/>
            <w:tcBorders>
              <w:top w:val="nil"/>
              <w:left w:val="single" w:sz="4" w:space="0" w:color="auto"/>
              <w:bottom w:val="single" w:sz="4" w:space="0" w:color="auto"/>
              <w:right w:val="single" w:sz="4" w:space="0" w:color="auto"/>
            </w:tcBorders>
            <w:shd w:val="clear" w:color="000000" w:fill="E7E6E6"/>
            <w:noWrap/>
            <w:vAlign w:val="bottom"/>
            <w:hideMark/>
          </w:tcPr>
          <w:p w:rsidR="003D3E70" w:rsidRPr="003D3E70" w:rsidRDefault="003D3E70" w:rsidP="003D3E70">
            <w:pPr>
              <w:rPr>
                <w:rFonts w:ascii="Arial" w:hAnsi="Arial" w:cs="Arial"/>
                <w:b/>
                <w:bCs/>
                <w:color w:val="002060"/>
                <w:sz w:val="20"/>
                <w:szCs w:val="20"/>
              </w:rPr>
            </w:pPr>
            <w:r w:rsidRPr="003D3E70">
              <w:rPr>
                <w:rFonts w:ascii="Arial" w:hAnsi="Arial" w:cs="Arial"/>
                <w:b/>
                <w:bCs/>
                <w:color w:val="002060"/>
                <w:sz w:val="20"/>
                <w:szCs w:val="20"/>
              </w:rPr>
              <w:t xml:space="preserve"> B) ACTIU CORRENT</w:t>
            </w:r>
          </w:p>
        </w:tc>
        <w:tc>
          <w:tcPr>
            <w:tcW w:w="1348"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142.775</w:t>
            </w:r>
          </w:p>
        </w:tc>
        <w:tc>
          <w:tcPr>
            <w:tcW w:w="1156"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43,50%</w:t>
            </w:r>
          </w:p>
        </w:tc>
        <w:tc>
          <w:tcPr>
            <w:tcW w:w="1348"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117.519</w:t>
            </w:r>
          </w:p>
        </w:tc>
        <w:tc>
          <w:tcPr>
            <w:tcW w:w="1156"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43,77%</w:t>
            </w:r>
          </w:p>
        </w:tc>
        <w:tc>
          <w:tcPr>
            <w:tcW w:w="1350"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114.384</w:t>
            </w:r>
          </w:p>
        </w:tc>
        <w:tc>
          <w:tcPr>
            <w:tcW w:w="956"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47,73%</w:t>
            </w:r>
          </w:p>
        </w:tc>
        <w:tc>
          <w:tcPr>
            <w:tcW w:w="1074"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113.183</w:t>
            </w:r>
          </w:p>
        </w:tc>
        <w:tc>
          <w:tcPr>
            <w:tcW w:w="956"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51,92%</w:t>
            </w:r>
          </w:p>
        </w:tc>
        <w:tc>
          <w:tcPr>
            <w:tcW w:w="1074"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114.059</w:t>
            </w:r>
          </w:p>
        </w:tc>
        <w:tc>
          <w:tcPr>
            <w:tcW w:w="956"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59,40%</w:t>
            </w:r>
          </w:p>
        </w:tc>
      </w:tr>
      <w:tr w:rsidR="003D3E70" w:rsidRPr="003D3E70" w:rsidTr="00247311">
        <w:trPr>
          <w:trHeight w:val="372"/>
        </w:trPr>
        <w:tc>
          <w:tcPr>
            <w:tcW w:w="3352" w:type="dxa"/>
            <w:tcBorders>
              <w:top w:val="nil"/>
              <w:left w:val="single" w:sz="4" w:space="0" w:color="auto"/>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Existències</w:t>
            </w:r>
          </w:p>
        </w:tc>
        <w:tc>
          <w:tcPr>
            <w:tcW w:w="1348"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54.601</w:t>
            </w:r>
          </w:p>
        </w:tc>
        <w:tc>
          <w:tcPr>
            <w:tcW w:w="11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16,64%</w:t>
            </w:r>
          </w:p>
        </w:tc>
        <w:tc>
          <w:tcPr>
            <w:tcW w:w="1348"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45.341</w:t>
            </w:r>
          </w:p>
        </w:tc>
        <w:tc>
          <w:tcPr>
            <w:tcW w:w="11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16,89%</w:t>
            </w:r>
          </w:p>
        </w:tc>
        <w:tc>
          <w:tcPr>
            <w:tcW w:w="1350"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38.782</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16,18%</w:t>
            </w:r>
          </w:p>
        </w:tc>
        <w:tc>
          <w:tcPr>
            <w:tcW w:w="1074"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34.182</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15,68%</w:t>
            </w:r>
          </w:p>
        </w:tc>
        <w:tc>
          <w:tcPr>
            <w:tcW w:w="1074"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31.559</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16,44%</w:t>
            </w:r>
          </w:p>
        </w:tc>
      </w:tr>
      <w:tr w:rsidR="003D3E70" w:rsidRPr="003D3E70" w:rsidTr="00247311">
        <w:trPr>
          <w:trHeight w:val="372"/>
        </w:trPr>
        <w:tc>
          <w:tcPr>
            <w:tcW w:w="3352" w:type="dxa"/>
            <w:tcBorders>
              <w:top w:val="nil"/>
              <w:left w:val="single" w:sz="4" w:space="0" w:color="auto"/>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Deutors</w:t>
            </w:r>
          </w:p>
        </w:tc>
        <w:tc>
          <w:tcPr>
            <w:tcW w:w="1348"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63.152</w:t>
            </w:r>
          </w:p>
        </w:tc>
        <w:tc>
          <w:tcPr>
            <w:tcW w:w="11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19,24%</w:t>
            </w:r>
          </w:p>
        </w:tc>
        <w:tc>
          <w:tcPr>
            <w:tcW w:w="1348"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56.692</w:t>
            </w:r>
          </w:p>
        </w:tc>
        <w:tc>
          <w:tcPr>
            <w:tcW w:w="11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21,12%</w:t>
            </w:r>
          </w:p>
        </w:tc>
        <w:tc>
          <w:tcPr>
            <w:tcW w:w="1350"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59.853</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24,98%</w:t>
            </w:r>
          </w:p>
        </w:tc>
        <w:tc>
          <w:tcPr>
            <w:tcW w:w="1074"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59.432</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27,26%</w:t>
            </w:r>
          </w:p>
        </w:tc>
        <w:tc>
          <w:tcPr>
            <w:tcW w:w="1074"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52.465</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27,32%</w:t>
            </w:r>
          </w:p>
        </w:tc>
      </w:tr>
      <w:tr w:rsidR="003D3E70" w:rsidRPr="003D3E70" w:rsidTr="00247311">
        <w:trPr>
          <w:trHeight w:val="372"/>
        </w:trPr>
        <w:tc>
          <w:tcPr>
            <w:tcW w:w="3352" w:type="dxa"/>
            <w:tcBorders>
              <w:top w:val="nil"/>
              <w:left w:val="single" w:sz="4" w:space="0" w:color="auto"/>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Altres actius líquids</w:t>
            </w:r>
          </w:p>
        </w:tc>
        <w:tc>
          <w:tcPr>
            <w:tcW w:w="1348"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25.022</w:t>
            </w:r>
          </w:p>
        </w:tc>
        <w:tc>
          <w:tcPr>
            <w:tcW w:w="11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7,62%</w:t>
            </w:r>
          </w:p>
        </w:tc>
        <w:tc>
          <w:tcPr>
            <w:tcW w:w="1348"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15.486</w:t>
            </w:r>
          </w:p>
        </w:tc>
        <w:tc>
          <w:tcPr>
            <w:tcW w:w="11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5,77%</w:t>
            </w:r>
          </w:p>
        </w:tc>
        <w:tc>
          <w:tcPr>
            <w:tcW w:w="1350"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15.749</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6,57%</w:t>
            </w:r>
          </w:p>
        </w:tc>
        <w:tc>
          <w:tcPr>
            <w:tcW w:w="1074"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19.569</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8,98%</w:t>
            </w:r>
          </w:p>
        </w:tc>
        <w:tc>
          <w:tcPr>
            <w:tcW w:w="1074"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30.035</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15,64%</w:t>
            </w:r>
          </w:p>
        </w:tc>
      </w:tr>
      <w:tr w:rsidR="003D3E70" w:rsidRPr="003D3E70" w:rsidTr="00247311">
        <w:trPr>
          <w:trHeight w:val="372"/>
        </w:trPr>
        <w:tc>
          <w:tcPr>
            <w:tcW w:w="3352" w:type="dxa"/>
            <w:tcBorders>
              <w:top w:val="nil"/>
              <w:left w:val="single" w:sz="4" w:space="0" w:color="auto"/>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Tresoreria</w:t>
            </w:r>
          </w:p>
        </w:tc>
        <w:tc>
          <w:tcPr>
            <w:tcW w:w="1348"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21.474</w:t>
            </w:r>
          </w:p>
        </w:tc>
        <w:tc>
          <w:tcPr>
            <w:tcW w:w="11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6,54%</w:t>
            </w:r>
          </w:p>
        </w:tc>
        <w:tc>
          <w:tcPr>
            <w:tcW w:w="1348"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12.341</w:t>
            </w:r>
          </w:p>
        </w:tc>
        <w:tc>
          <w:tcPr>
            <w:tcW w:w="11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4,60%</w:t>
            </w:r>
          </w:p>
        </w:tc>
        <w:tc>
          <w:tcPr>
            <w:tcW w:w="1350"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12.650</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5,28%</w:t>
            </w:r>
          </w:p>
        </w:tc>
        <w:tc>
          <w:tcPr>
            <w:tcW w:w="1074"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12.441</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5,71%</w:t>
            </w:r>
          </w:p>
        </w:tc>
        <w:tc>
          <w:tcPr>
            <w:tcW w:w="1074"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12.687</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6,61%</w:t>
            </w:r>
          </w:p>
        </w:tc>
      </w:tr>
      <w:tr w:rsidR="003D3E70" w:rsidRPr="003D3E70" w:rsidTr="00247311">
        <w:trPr>
          <w:trHeight w:val="372"/>
        </w:trPr>
        <w:tc>
          <w:tcPr>
            <w:tcW w:w="3352" w:type="dxa"/>
            <w:tcBorders>
              <w:top w:val="nil"/>
              <w:left w:val="single" w:sz="4" w:space="0" w:color="auto"/>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 </w:t>
            </w:r>
          </w:p>
        </w:tc>
        <w:tc>
          <w:tcPr>
            <w:tcW w:w="1348"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 </w:t>
            </w:r>
          </w:p>
        </w:tc>
        <w:tc>
          <w:tcPr>
            <w:tcW w:w="1348"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 </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 </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rPr>
                <w:rFonts w:ascii="Arial" w:hAnsi="Arial" w:cs="Arial"/>
                <w:color w:val="002060"/>
                <w:sz w:val="20"/>
                <w:szCs w:val="20"/>
              </w:rPr>
            </w:pPr>
            <w:r w:rsidRPr="003D3E70">
              <w:rPr>
                <w:rFonts w:ascii="Arial" w:hAnsi="Arial" w:cs="Arial"/>
                <w:color w:val="002060"/>
                <w:sz w:val="20"/>
                <w:szCs w:val="20"/>
              </w:rPr>
              <w:t> </w:t>
            </w:r>
          </w:p>
        </w:tc>
        <w:tc>
          <w:tcPr>
            <w:tcW w:w="956" w:type="dxa"/>
            <w:tcBorders>
              <w:top w:val="nil"/>
              <w:left w:val="nil"/>
              <w:bottom w:val="single" w:sz="4" w:space="0" w:color="auto"/>
              <w:right w:val="single" w:sz="4" w:space="0" w:color="auto"/>
            </w:tcBorders>
            <w:shd w:val="clear" w:color="auto" w:fill="auto"/>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0,00%</w:t>
            </w:r>
          </w:p>
        </w:tc>
      </w:tr>
      <w:tr w:rsidR="003D3E70" w:rsidRPr="003D3E70" w:rsidTr="00247311">
        <w:trPr>
          <w:trHeight w:val="372"/>
        </w:trPr>
        <w:tc>
          <w:tcPr>
            <w:tcW w:w="3352" w:type="dxa"/>
            <w:tcBorders>
              <w:top w:val="nil"/>
              <w:left w:val="single" w:sz="4" w:space="0" w:color="auto"/>
              <w:bottom w:val="single" w:sz="4" w:space="0" w:color="auto"/>
              <w:right w:val="single" w:sz="4" w:space="0" w:color="auto"/>
            </w:tcBorders>
            <w:shd w:val="clear" w:color="000000" w:fill="E7E6E6"/>
            <w:noWrap/>
            <w:vAlign w:val="bottom"/>
            <w:hideMark/>
          </w:tcPr>
          <w:p w:rsidR="003D3E70" w:rsidRPr="003D3E70" w:rsidRDefault="003D3E70" w:rsidP="003D3E70">
            <w:pPr>
              <w:rPr>
                <w:rFonts w:ascii="Arial" w:hAnsi="Arial" w:cs="Arial"/>
                <w:b/>
                <w:bCs/>
                <w:color w:val="002060"/>
                <w:sz w:val="20"/>
                <w:szCs w:val="20"/>
              </w:rPr>
            </w:pPr>
            <w:r w:rsidRPr="003D3E70">
              <w:rPr>
                <w:rFonts w:ascii="Arial" w:hAnsi="Arial" w:cs="Arial"/>
                <w:b/>
                <w:bCs/>
                <w:color w:val="002060"/>
                <w:sz w:val="20"/>
                <w:szCs w:val="20"/>
              </w:rPr>
              <w:t xml:space="preserve">ACTIU TOTAL </w:t>
            </w:r>
          </w:p>
        </w:tc>
        <w:tc>
          <w:tcPr>
            <w:tcW w:w="1348"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328.209</w:t>
            </w:r>
          </w:p>
        </w:tc>
        <w:tc>
          <w:tcPr>
            <w:tcW w:w="1156"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100,00%</w:t>
            </w:r>
          </w:p>
        </w:tc>
        <w:tc>
          <w:tcPr>
            <w:tcW w:w="1348"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268.474</w:t>
            </w:r>
          </w:p>
        </w:tc>
        <w:tc>
          <w:tcPr>
            <w:tcW w:w="1156"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100,00%</w:t>
            </w:r>
          </w:p>
        </w:tc>
        <w:tc>
          <w:tcPr>
            <w:tcW w:w="1350"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239.638</w:t>
            </w:r>
          </w:p>
        </w:tc>
        <w:tc>
          <w:tcPr>
            <w:tcW w:w="956"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100,00%</w:t>
            </w:r>
          </w:p>
        </w:tc>
        <w:tc>
          <w:tcPr>
            <w:tcW w:w="1074"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217.987</w:t>
            </w:r>
          </w:p>
        </w:tc>
        <w:tc>
          <w:tcPr>
            <w:tcW w:w="956"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100,00%</w:t>
            </w:r>
          </w:p>
        </w:tc>
        <w:tc>
          <w:tcPr>
            <w:tcW w:w="1074"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b/>
                <w:bCs/>
                <w:color w:val="002060"/>
                <w:sz w:val="20"/>
                <w:szCs w:val="20"/>
              </w:rPr>
            </w:pPr>
            <w:r w:rsidRPr="003D3E70">
              <w:rPr>
                <w:rFonts w:ascii="Arial" w:hAnsi="Arial" w:cs="Arial"/>
                <w:b/>
                <w:bCs/>
                <w:color w:val="002060"/>
                <w:sz w:val="20"/>
                <w:szCs w:val="20"/>
              </w:rPr>
              <w:t>192.005</w:t>
            </w:r>
          </w:p>
        </w:tc>
        <w:tc>
          <w:tcPr>
            <w:tcW w:w="956" w:type="dxa"/>
            <w:tcBorders>
              <w:top w:val="nil"/>
              <w:left w:val="nil"/>
              <w:bottom w:val="single" w:sz="4" w:space="0" w:color="auto"/>
              <w:right w:val="single" w:sz="4" w:space="0" w:color="auto"/>
            </w:tcBorders>
            <w:shd w:val="clear" w:color="000000" w:fill="E7E6E6"/>
            <w:noWrap/>
            <w:vAlign w:val="bottom"/>
            <w:hideMark/>
          </w:tcPr>
          <w:p w:rsidR="003D3E70" w:rsidRPr="003D3E70" w:rsidRDefault="003D3E70" w:rsidP="003D3E70">
            <w:pPr>
              <w:jc w:val="right"/>
              <w:rPr>
                <w:rFonts w:ascii="Arial" w:hAnsi="Arial" w:cs="Arial"/>
                <w:color w:val="002060"/>
                <w:sz w:val="20"/>
                <w:szCs w:val="20"/>
              </w:rPr>
            </w:pPr>
            <w:r w:rsidRPr="003D3E70">
              <w:rPr>
                <w:rFonts w:ascii="Arial" w:hAnsi="Arial" w:cs="Arial"/>
                <w:color w:val="002060"/>
                <w:sz w:val="20"/>
                <w:szCs w:val="20"/>
              </w:rPr>
              <w:t>100,00%</w:t>
            </w:r>
          </w:p>
        </w:tc>
      </w:tr>
    </w:tbl>
    <w:p w:rsidR="00B665AE" w:rsidRDefault="00B665AE">
      <w:pPr>
        <w:rPr>
          <w:rFonts w:ascii="Arial" w:hAnsi="Arial" w:cs="Arial"/>
          <w:color w:val="002060"/>
          <w:sz w:val="16"/>
          <w:szCs w:val="16"/>
        </w:rPr>
      </w:pPr>
    </w:p>
    <w:p w:rsidR="008C0D51" w:rsidRPr="00AE1EC6" w:rsidRDefault="008C0D51">
      <w:pPr>
        <w:rPr>
          <w:rFonts w:ascii="Arial" w:hAnsi="Arial" w:cs="Arial"/>
          <w:color w:val="002060"/>
          <w:sz w:val="14"/>
          <w:szCs w:val="14"/>
        </w:rPr>
      </w:pPr>
      <w:r w:rsidRPr="00AE1EC6">
        <w:rPr>
          <w:rFonts w:ascii="Arial" w:hAnsi="Arial" w:cs="Arial"/>
          <w:color w:val="002060"/>
          <w:sz w:val="14"/>
          <w:szCs w:val="14"/>
        </w:rPr>
        <w:br w:type="page"/>
      </w:r>
    </w:p>
    <w:tbl>
      <w:tblPr>
        <w:tblW w:w="14619" w:type="dxa"/>
        <w:tblCellMar>
          <w:left w:w="70" w:type="dxa"/>
          <w:right w:w="70" w:type="dxa"/>
        </w:tblCellMar>
        <w:tblLook w:val="04A0" w:firstRow="1" w:lastRow="0" w:firstColumn="1" w:lastColumn="0" w:noHBand="0" w:noVBand="1"/>
      </w:tblPr>
      <w:tblGrid>
        <w:gridCol w:w="3037"/>
        <w:gridCol w:w="879"/>
        <w:gridCol w:w="160"/>
        <w:gridCol w:w="594"/>
        <w:gridCol w:w="586"/>
        <w:gridCol w:w="293"/>
        <w:gridCol w:w="719"/>
        <w:gridCol w:w="35"/>
        <w:gridCol w:w="882"/>
        <w:gridCol w:w="263"/>
        <w:gridCol w:w="443"/>
        <w:gridCol w:w="569"/>
        <w:gridCol w:w="225"/>
        <w:gridCol w:w="707"/>
        <w:gridCol w:w="248"/>
        <w:gridCol w:w="546"/>
        <w:gridCol w:w="403"/>
        <w:gridCol w:w="1066"/>
        <w:gridCol w:w="949"/>
        <w:gridCol w:w="1066"/>
        <w:gridCol w:w="949"/>
      </w:tblGrid>
      <w:tr w:rsidR="008C0D51" w:rsidRPr="008C0D51" w:rsidTr="008C0D51">
        <w:trPr>
          <w:trHeight w:val="374"/>
        </w:trPr>
        <w:tc>
          <w:tcPr>
            <w:tcW w:w="4076" w:type="dxa"/>
            <w:gridSpan w:val="3"/>
            <w:tcBorders>
              <w:top w:val="nil"/>
              <w:left w:val="nil"/>
              <w:bottom w:val="nil"/>
              <w:right w:val="nil"/>
            </w:tcBorders>
            <w:shd w:val="clear" w:color="auto" w:fill="auto"/>
            <w:noWrap/>
            <w:vAlign w:val="bottom"/>
            <w:hideMark/>
          </w:tcPr>
          <w:p w:rsidR="008C0D51" w:rsidRPr="008C0D51" w:rsidRDefault="008C0D51">
            <w:pPr>
              <w:rPr>
                <w:rFonts w:ascii="Arial" w:hAnsi="Arial" w:cs="Arial"/>
                <w:color w:val="002060"/>
                <w:sz w:val="20"/>
                <w:szCs w:val="20"/>
              </w:rPr>
            </w:pPr>
          </w:p>
        </w:tc>
        <w:tc>
          <w:tcPr>
            <w:tcW w:w="1180" w:type="dxa"/>
            <w:gridSpan w:val="2"/>
            <w:tcBorders>
              <w:top w:val="nil"/>
              <w:left w:val="nil"/>
              <w:bottom w:val="nil"/>
              <w:right w:val="nil"/>
            </w:tcBorders>
            <w:shd w:val="clear" w:color="auto" w:fill="auto"/>
            <w:noWrap/>
            <w:vAlign w:val="bottom"/>
            <w:hideMark/>
          </w:tcPr>
          <w:p w:rsidR="008C0D51" w:rsidRPr="008C0D51" w:rsidRDefault="008C0D51">
            <w:pPr>
              <w:rPr>
                <w:rFonts w:ascii="Arial" w:hAnsi="Arial" w:cs="Arial"/>
                <w:color w:val="002060"/>
                <w:sz w:val="20"/>
                <w:szCs w:val="20"/>
              </w:rPr>
            </w:pPr>
          </w:p>
        </w:tc>
        <w:tc>
          <w:tcPr>
            <w:tcW w:w="1012" w:type="dxa"/>
            <w:gridSpan w:val="2"/>
            <w:tcBorders>
              <w:top w:val="nil"/>
              <w:left w:val="nil"/>
              <w:bottom w:val="nil"/>
              <w:right w:val="nil"/>
            </w:tcBorders>
            <w:shd w:val="clear" w:color="auto" w:fill="auto"/>
            <w:noWrap/>
            <w:vAlign w:val="bottom"/>
            <w:hideMark/>
          </w:tcPr>
          <w:p w:rsidR="008C0D51" w:rsidRPr="008C0D51" w:rsidRDefault="008C0D51">
            <w:pPr>
              <w:rPr>
                <w:rFonts w:ascii="Arial" w:hAnsi="Arial" w:cs="Arial"/>
                <w:color w:val="002060"/>
                <w:sz w:val="20"/>
                <w:szCs w:val="20"/>
              </w:rPr>
            </w:pPr>
          </w:p>
        </w:tc>
        <w:tc>
          <w:tcPr>
            <w:tcW w:w="1180" w:type="dxa"/>
            <w:gridSpan w:val="3"/>
            <w:tcBorders>
              <w:top w:val="nil"/>
              <w:left w:val="nil"/>
              <w:bottom w:val="nil"/>
              <w:right w:val="nil"/>
            </w:tcBorders>
            <w:shd w:val="clear" w:color="auto" w:fill="auto"/>
            <w:noWrap/>
            <w:vAlign w:val="bottom"/>
            <w:hideMark/>
          </w:tcPr>
          <w:p w:rsidR="008C0D51" w:rsidRPr="008C0D51" w:rsidRDefault="008C0D51">
            <w:pPr>
              <w:rPr>
                <w:rFonts w:ascii="Arial" w:hAnsi="Arial" w:cs="Arial"/>
                <w:color w:val="002060"/>
                <w:sz w:val="20"/>
                <w:szCs w:val="20"/>
              </w:rPr>
            </w:pPr>
          </w:p>
        </w:tc>
        <w:tc>
          <w:tcPr>
            <w:tcW w:w="1012" w:type="dxa"/>
            <w:gridSpan w:val="2"/>
            <w:tcBorders>
              <w:top w:val="nil"/>
              <w:left w:val="nil"/>
              <w:bottom w:val="nil"/>
              <w:right w:val="nil"/>
            </w:tcBorders>
            <w:shd w:val="clear" w:color="auto" w:fill="auto"/>
            <w:noWrap/>
            <w:vAlign w:val="bottom"/>
            <w:hideMark/>
          </w:tcPr>
          <w:p w:rsidR="008C0D51" w:rsidRPr="008C0D51" w:rsidRDefault="008C0D51">
            <w:pPr>
              <w:rPr>
                <w:rFonts w:ascii="Arial" w:hAnsi="Arial" w:cs="Arial"/>
                <w:color w:val="002060"/>
                <w:sz w:val="20"/>
                <w:szCs w:val="20"/>
              </w:rPr>
            </w:pPr>
          </w:p>
        </w:tc>
        <w:tc>
          <w:tcPr>
            <w:tcW w:w="1180" w:type="dxa"/>
            <w:gridSpan w:val="3"/>
            <w:tcBorders>
              <w:top w:val="nil"/>
              <w:left w:val="nil"/>
              <w:bottom w:val="nil"/>
              <w:right w:val="nil"/>
            </w:tcBorders>
            <w:shd w:val="clear" w:color="auto" w:fill="auto"/>
            <w:noWrap/>
            <w:vAlign w:val="bottom"/>
            <w:hideMark/>
          </w:tcPr>
          <w:p w:rsidR="008C0D51" w:rsidRPr="008C0D51" w:rsidRDefault="008C0D51">
            <w:pPr>
              <w:rPr>
                <w:rFonts w:ascii="Arial" w:hAnsi="Arial" w:cs="Arial"/>
                <w:color w:val="002060"/>
                <w:sz w:val="20"/>
                <w:szCs w:val="20"/>
              </w:rPr>
            </w:pPr>
          </w:p>
        </w:tc>
        <w:tc>
          <w:tcPr>
            <w:tcW w:w="949" w:type="dxa"/>
            <w:gridSpan w:val="2"/>
            <w:tcBorders>
              <w:top w:val="nil"/>
              <w:left w:val="nil"/>
              <w:bottom w:val="nil"/>
              <w:right w:val="nil"/>
            </w:tcBorders>
            <w:shd w:val="clear" w:color="auto" w:fill="auto"/>
            <w:noWrap/>
            <w:vAlign w:val="bottom"/>
            <w:hideMark/>
          </w:tcPr>
          <w:p w:rsidR="008C0D51" w:rsidRPr="008C0D51" w:rsidRDefault="008C0D51">
            <w:pPr>
              <w:rPr>
                <w:rFonts w:ascii="Arial" w:hAnsi="Arial" w:cs="Arial"/>
                <w:color w:val="002060"/>
                <w:sz w:val="20"/>
                <w:szCs w:val="20"/>
              </w:rPr>
            </w:pPr>
          </w:p>
        </w:tc>
        <w:tc>
          <w:tcPr>
            <w:tcW w:w="1066" w:type="dxa"/>
            <w:tcBorders>
              <w:top w:val="nil"/>
              <w:left w:val="nil"/>
              <w:bottom w:val="nil"/>
              <w:right w:val="nil"/>
            </w:tcBorders>
            <w:shd w:val="clear" w:color="auto" w:fill="auto"/>
            <w:noWrap/>
            <w:vAlign w:val="bottom"/>
            <w:hideMark/>
          </w:tcPr>
          <w:p w:rsidR="008C0D51" w:rsidRPr="008C0D51" w:rsidRDefault="008C0D51">
            <w:pPr>
              <w:rPr>
                <w:rFonts w:ascii="Arial" w:hAnsi="Arial" w:cs="Arial"/>
                <w:color w:val="002060"/>
                <w:sz w:val="20"/>
                <w:szCs w:val="20"/>
              </w:rPr>
            </w:pPr>
          </w:p>
        </w:tc>
        <w:tc>
          <w:tcPr>
            <w:tcW w:w="949" w:type="dxa"/>
            <w:tcBorders>
              <w:top w:val="nil"/>
              <w:left w:val="nil"/>
              <w:bottom w:val="nil"/>
              <w:right w:val="nil"/>
            </w:tcBorders>
            <w:shd w:val="clear" w:color="auto" w:fill="auto"/>
            <w:noWrap/>
            <w:vAlign w:val="bottom"/>
            <w:hideMark/>
          </w:tcPr>
          <w:p w:rsidR="008C0D51" w:rsidRPr="008C0D51" w:rsidRDefault="008C0D51">
            <w:pPr>
              <w:rPr>
                <w:rFonts w:ascii="Arial" w:hAnsi="Arial" w:cs="Arial"/>
                <w:color w:val="002060"/>
                <w:sz w:val="20"/>
                <w:szCs w:val="20"/>
              </w:rPr>
            </w:pPr>
          </w:p>
        </w:tc>
        <w:tc>
          <w:tcPr>
            <w:tcW w:w="1066" w:type="dxa"/>
            <w:tcBorders>
              <w:top w:val="nil"/>
              <w:left w:val="nil"/>
              <w:bottom w:val="nil"/>
              <w:right w:val="nil"/>
            </w:tcBorders>
            <w:shd w:val="clear" w:color="auto" w:fill="auto"/>
            <w:noWrap/>
            <w:vAlign w:val="bottom"/>
            <w:hideMark/>
          </w:tcPr>
          <w:p w:rsidR="008C0D51" w:rsidRPr="008C0D51" w:rsidRDefault="008C0D51">
            <w:pPr>
              <w:rPr>
                <w:rFonts w:ascii="Arial" w:hAnsi="Arial" w:cs="Arial"/>
                <w:color w:val="002060"/>
                <w:sz w:val="20"/>
                <w:szCs w:val="20"/>
              </w:rPr>
            </w:pPr>
          </w:p>
        </w:tc>
        <w:tc>
          <w:tcPr>
            <w:tcW w:w="949" w:type="dxa"/>
            <w:tcBorders>
              <w:top w:val="nil"/>
              <w:left w:val="nil"/>
              <w:bottom w:val="nil"/>
              <w:right w:val="nil"/>
            </w:tcBorders>
            <w:shd w:val="clear" w:color="auto" w:fill="auto"/>
            <w:noWrap/>
            <w:vAlign w:val="bottom"/>
            <w:hideMark/>
          </w:tcPr>
          <w:p w:rsidR="008C0D51" w:rsidRPr="008C0D51" w:rsidRDefault="008C0D51">
            <w:pPr>
              <w:rPr>
                <w:rFonts w:ascii="Arial" w:hAnsi="Arial" w:cs="Arial"/>
                <w:color w:val="002060"/>
                <w:sz w:val="20"/>
                <w:szCs w:val="20"/>
              </w:rPr>
            </w:pPr>
          </w:p>
        </w:tc>
      </w:tr>
      <w:tr w:rsidR="008C0D51" w:rsidRPr="008C0D51" w:rsidTr="008C0D51">
        <w:trPr>
          <w:trHeight w:val="374"/>
        </w:trPr>
        <w:tc>
          <w:tcPr>
            <w:tcW w:w="4076"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0D51" w:rsidRPr="008C0D51" w:rsidRDefault="008C0D51">
            <w:pPr>
              <w:rPr>
                <w:rFonts w:ascii="Arial" w:hAnsi="Arial" w:cs="Arial"/>
                <w:b/>
                <w:bCs/>
                <w:color w:val="002060"/>
                <w:sz w:val="20"/>
                <w:szCs w:val="20"/>
              </w:rPr>
            </w:pPr>
            <w:r w:rsidRPr="008C0D51">
              <w:rPr>
                <w:rFonts w:ascii="Arial" w:hAnsi="Arial" w:cs="Arial"/>
                <w:b/>
                <w:bCs/>
                <w:color w:val="002060"/>
                <w:sz w:val="20"/>
                <w:szCs w:val="20"/>
              </w:rPr>
              <w:t>PASSIU</w:t>
            </w:r>
          </w:p>
        </w:tc>
        <w:tc>
          <w:tcPr>
            <w:tcW w:w="2192" w:type="dxa"/>
            <w:gridSpan w:val="4"/>
            <w:tcBorders>
              <w:top w:val="single" w:sz="4" w:space="0" w:color="auto"/>
              <w:left w:val="nil"/>
              <w:bottom w:val="single" w:sz="4" w:space="0" w:color="auto"/>
              <w:right w:val="single" w:sz="4" w:space="0" w:color="auto"/>
            </w:tcBorders>
            <w:shd w:val="clear" w:color="auto" w:fill="auto"/>
            <w:noWrap/>
            <w:vAlign w:val="bottom"/>
            <w:hideMark/>
          </w:tcPr>
          <w:p w:rsidR="008C0D51" w:rsidRPr="008C0D51" w:rsidRDefault="008C0D51">
            <w:pPr>
              <w:jc w:val="center"/>
              <w:rPr>
                <w:rFonts w:ascii="Arial" w:hAnsi="Arial" w:cs="Arial"/>
                <w:b/>
                <w:bCs/>
                <w:color w:val="002060"/>
                <w:sz w:val="20"/>
                <w:szCs w:val="20"/>
              </w:rPr>
            </w:pPr>
            <w:r w:rsidRPr="008C0D51">
              <w:rPr>
                <w:rFonts w:ascii="Arial" w:hAnsi="Arial" w:cs="Arial"/>
                <w:b/>
                <w:bCs/>
                <w:color w:val="002060"/>
                <w:sz w:val="20"/>
                <w:szCs w:val="20"/>
              </w:rPr>
              <w:t>2019</w:t>
            </w:r>
          </w:p>
        </w:tc>
        <w:tc>
          <w:tcPr>
            <w:tcW w:w="2192" w:type="dxa"/>
            <w:gridSpan w:val="5"/>
            <w:tcBorders>
              <w:top w:val="single" w:sz="4" w:space="0" w:color="auto"/>
              <w:left w:val="nil"/>
              <w:bottom w:val="single" w:sz="4" w:space="0" w:color="auto"/>
              <w:right w:val="single" w:sz="4" w:space="0" w:color="auto"/>
            </w:tcBorders>
            <w:shd w:val="clear" w:color="auto" w:fill="auto"/>
            <w:noWrap/>
            <w:vAlign w:val="bottom"/>
            <w:hideMark/>
          </w:tcPr>
          <w:p w:rsidR="008C0D51" w:rsidRPr="008C0D51" w:rsidRDefault="008C0D51">
            <w:pPr>
              <w:jc w:val="center"/>
              <w:rPr>
                <w:rFonts w:ascii="Arial" w:hAnsi="Arial" w:cs="Arial"/>
                <w:b/>
                <w:bCs/>
                <w:color w:val="002060"/>
                <w:sz w:val="20"/>
                <w:szCs w:val="20"/>
              </w:rPr>
            </w:pPr>
            <w:r w:rsidRPr="008C0D51">
              <w:rPr>
                <w:rFonts w:ascii="Arial" w:hAnsi="Arial" w:cs="Arial"/>
                <w:b/>
                <w:bCs/>
                <w:color w:val="002060"/>
                <w:sz w:val="20"/>
                <w:szCs w:val="20"/>
              </w:rPr>
              <w:t>2018</w:t>
            </w:r>
          </w:p>
        </w:tc>
        <w:tc>
          <w:tcPr>
            <w:tcW w:w="2129" w:type="dxa"/>
            <w:gridSpan w:val="5"/>
            <w:tcBorders>
              <w:top w:val="single" w:sz="4" w:space="0" w:color="auto"/>
              <w:left w:val="nil"/>
              <w:bottom w:val="single" w:sz="4" w:space="0" w:color="auto"/>
              <w:right w:val="single" w:sz="4" w:space="0" w:color="auto"/>
            </w:tcBorders>
            <w:shd w:val="clear" w:color="auto" w:fill="auto"/>
            <w:noWrap/>
            <w:vAlign w:val="bottom"/>
            <w:hideMark/>
          </w:tcPr>
          <w:p w:rsidR="008C0D51" w:rsidRPr="008C0D51" w:rsidRDefault="008C0D51">
            <w:pPr>
              <w:jc w:val="center"/>
              <w:rPr>
                <w:rFonts w:ascii="Arial" w:hAnsi="Arial" w:cs="Arial"/>
                <w:b/>
                <w:bCs/>
                <w:color w:val="002060"/>
                <w:sz w:val="20"/>
                <w:szCs w:val="20"/>
              </w:rPr>
            </w:pPr>
            <w:r w:rsidRPr="008C0D51">
              <w:rPr>
                <w:rFonts w:ascii="Arial" w:hAnsi="Arial" w:cs="Arial"/>
                <w:b/>
                <w:bCs/>
                <w:color w:val="002060"/>
                <w:sz w:val="20"/>
                <w:szCs w:val="20"/>
              </w:rPr>
              <w:t>2017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0D51" w:rsidRPr="008C0D51" w:rsidRDefault="008C0D51">
            <w:pPr>
              <w:jc w:val="center"/>
              <w:rPr>
                <w:rFonts w:ascii="Arial" w:hAnsi="Arial" w:cs="Arial"/>
                <w:b/>
                <w:bCs/>
                <w:color w:val="002060"/>
                <w:sz w:val="20"/>
                <w:szCs w:val="20"/>
              </w:rPr>
            </w:pPr>
            <w:r w:rsidRPr="008C0D51">
              <w:rPr>
                <w:rFonts w:ascii="Arial" w:hAnsi="Arial" w:cs="Arial"/>
                <w:b/>
                <w:bCs/>
                <w:color w:val="002060"/>
                <w:sz w:val="20"/>
                <w:szCs w:val="20"/>
              </w:rPr>
              <w:t>2016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0D51" w:rsidRPr="008C0D51" w:rsidRDefault="008C0D51">
            <w:pPr>
              <w:jc w:val="center"/>
              <w:rPr>
                <w:rFonts w:ascii="Arial" w:hAnsi="Arial" w:cs="Arial"/>
                <w:b/>
                <w:bCs/>
                <w:color w:val="002060"/>
                <w:sz w:val="20"/>
                <w:szCs w:val="20"/>
              </w:rPr>
            </w:pPr>
            <w:r w:rsidRPr="008C0D51">
              <w:rPr>
                <w:rFonts w:ascii="Arial" w:hAnsi="Arial" w:cs="Arial"/>
                <w:b/>
                <w:bCs/>
                <w:color w:val="002060"/>
                <w:sz w:val="20"/>
                <w:szCs w:val="20"/>
              </w:rPr>
              <w:t>2015</w:t>
            </w:r>
          </w:p>
        </w:tc>
      </w:tr>
      <w:tr w:rsidR="008C0D51" w:rsidRPr="008C0D51" w:rsidTr="008C0D51">
        <w:trPr>
          <w:trHeight w:val="374"/>
        </w:trPr>
        <w:tc>
          <w:tcPr>
            <w:tcW w:w="4076" w:type="dxa"/>
            <w:gridSpan w:val="3"/>
            <w:vMerge/>
            <w:tcBorders>
              <w:top w:val="single" w:sz="4" w:space="0" w:color="auto"/>
              <w:left w:val="single" w:sz="4" w:space="0" w:color="auto"/>
              <w:bottom w:val="single" w:sz="4" w:space="0" w:color="000000"/>
              <w:right w:val="single" w:sz="4" w:space="0" w:color="auto"/>
            </w:tcBorders>
            <w:vAlign w:val="center"/>
            <w:hideMark/>
          </w:tcPr>
          <w:p w:rsidR="008C0D51" w:rsidRPr="008C0D51" w:rsidRDefault="008C0D51">
            <w:pPr>
              <w:rPr>
                <w:rFonts w:ascii="Arial" w:hAnsi="Arial" w:cs="Arial"/>
                <w:b/>
                <w:bCs/>
                <w:color w:val="002060"/>
                <w:sz w:val="20"/>
                <w:szCs w:val="20"/>
              </w:rPr>
            </w:pP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center"/>
              <w:rPr>
                <w:rFonts w:ascii="Arial" w:hAnsi="Arial" w:cs="Arial"/>
                <w:b/>
                <w:bCs/>
                <w:color w:val="002060"/>
                <w:sz w:val="20"/>
                <w:szCs w:val="20"/>
              </w:rPr>
            </w:pPr>
            <w:r w:rsidRPr="008C0D51">
              <w:rPr>
                <w:rFonts w:ascii="Arial" w:hAnsi="Arial" w:cs="Arial"/>
                <w:b/>
                <w:bCs/>
                <w:color w:val="002060"/>
                <w:sz w:val="20"/>
                <w:szCs w:val="20"/>
              </w:rPr>
              <w:t>milers d'€</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center"/>
              <w:rPr>
                <w:rFonts w:ascii="Arial" w:hAnsi="Arial" w:cs="Arial"/>
                <w:b/>
                <w:bCs/>
                <w:color w:val="002060"/>
                <w:sz w:val="20"/>
                <w:szCs w:val="20"/>
              </w:rPr>
            </w:pPr>
            <w:r w:rsidRPr="008C0D51">
              <w:rPr>
                <w:rFonts w:ascii="Arial" w:hAnsi="Arial" w:cs="Arial"/>
                <w:b/>
                <w:bCs/>
                <w:color w:val="002060"/>
                <w:sz w:val="20"/>
                <w:szCs w:val="20"/>
              </w:rPr>
              <w:t>%</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center"/>
              <w:rPr>
                <w:rFonts w:ascii="Arial" w:hAnsi="Arial" w:cs="Arial"/>
                <w:b/>
                <w:bCs/>
                <w:color w:val="002060"/>
                <w:sz w:val="20"/>
                <w:szCs w:val="20"/>
              </w:rPr>
            </w:pPr>
            <w:r w:rsidRPr="008C0D51">
              <w:rPr>
                <w:rFonts w:ascii="Arial" w:hAnsi="Arial" w:cs="Arial"/>
                <w:b/>
                <w:bCs/>
                <w:color w:val="002060"/>
                <w:sz w:val="20"/>
                <w:szCs w:val="20"/>
              </w:rPr>
              <w:t>milers d'€</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center"/>
              <w:rPr>
                <w:rFonts w:ascii="Arial" w:hAnsi="Arial" w:cs="Arial"/>
                <w:b/>
                <w:bCs/>
                <w:color w:val="002060"/>
                <w:sz w:val="20"/>
                <w:szCs w:val="20"/>
              </w:rPr>
            </w:pPr>
            <w:r w:rsidRPr="008C0D51">
              <w:rPr>
                <w:rFonts w:ascii="Arial" w:hAnsi="Arial" w:cs="Arial"/>
                <w:b/>
                <w:bCs/>
                <w:color w:val="002060"/>
                <w:sz w:val="20"/>
                <w:szCs w:val="20"/>
              </w:rPr>
              <w:t>%</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center"/>
              <w:rPr>
                <w:rFonts w:ascii="Arial" w:hAnsi="Arial" w:cs="Arial"/>
                <w:b/>
                <w:bCs/>
                <w:color w:val="002060"/>
                <w:sz w:val="20"/>
                <w:szCs w:val="20"/>
              </w:rPr>
            </w:pPr>
            <w:r w:rsidRPr="008C0D51">
              <w:rPr>
                <w:rFonts w:ascii="Arial" w:hAnsi="Arial" w:cs="Arial"/>
                <w:b/>
                <w:bCs/>
                <w:color w:val="002060"/>
                <w:sz w:val="20"/>
                <w:szCs w:val="20"/>
              </w:rPr>
              <w:t>milers d'€</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center"/>
              <w:rPr>
                <w:rFonts w:ascii="Arial" w:hAnsi="Arial" w:cs="Arial"/>
                <w:b/>
                <w:bCs/>
                <w:color w:val="002060"/>
                <w:sz w:val="20"/>
                <w:szCs w:val="20"/>
              </w:rPr>
            </w:pPr>
            <w:r w:rsidRPr="008C0D51">
              <w:rPr>
                <w:rFonts w:ascii="Arial" w:hAnsi="Arial" w:cs="Arial"/>
                <w:b/>
                <w:bCs/>
                <w:color w:val="002060"/>
                <w:sz w:val="20"/>
                <w:szCs w:val="20"/>
              </w:rPr>
              <w:t>%</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center"/>
              <w:rPr>
                <w:rFonts w:ascii="Arial" w:hAnsi="Arial" w:cs="Arial"/>
                <w:b/>
                <w:bCs/>
                <w:color w:val="002060"/>
                <w:sz w:val="20"/>
                <w:szCs w:val="20"/>
              </w:rPr>
            </w:pPr>
            <w:r w:rsidRPr="008C0D51">
              <w:rPr>
                <w:rFonts w:ascii="Arial" w:hAnsi="Arial" w:cs="Arial"/>
                <w:b/>
                <w:bCs/>
                <w:color w:val="002060"/>
                <w:sz w:val="20"/>
                <w:szCs w:val="20"/>
              </w:rPr>
              <w:t>milers d'€</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center"/>
              <w:rPr>
                <w:rFonts w:ascii="Arial" w:hAnsi="Arial" w:cs="Arial"/>
                <w:b/>
                <w:bCs/>
                <w:color w:val="002060"/>
                <w:sz w:val="20"/>
                <w:szCs w:val="20"/>
              </w:rPr>
            </w:pPr>
            <w:r w:rsidRPr="008C0D51">
              <w:rPr>
                <w:rFonts w:ascii="Arial" w:hAnsi="Arial" w:cs="Arial"/>
                <w:b/>
                <w:bCs/>
                <w:color w:val="002060"/>
                <w:sz w:val="20"/>
                <w:szCs w:val="20"/>
              </w:rPr>
              <w:t>%</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center"/>
              <w:rPr>
                <w:rFonts w:ascii="Arial" w:hAnsi="Arial" w:cs="Arial"/>
                <w:b/>
                <w:bCs/>
                <w:color w:val="002060"/>
                <w:sz w:val="20"/>
                <w:szCs w:val="20"/>
              </w:rPr>
            </w:pPr>
            <w:r w:rsidRPr="008C0D51">
              <w:rPr>
                <w:rFonts w:ascii="Arial" w:hAnsi="Arial" w:cs="Arial"/>
                <w:b/>
                <w:bCs/>
                <w:color w:val="002060"/>
                <w:sz w:val="20"/>
                <w:szCs w:val="20"/>
              </w:rPr>
              <w:t>milers d'€</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center"/>
              <w:rPr>
                <w:rFonts w:ascii="Arial" w:hAnsi="Arial" w:cs="Arial"/>
                <w:b/>
                <w:bCs/>
                <w:color w:val="002060"/>
                <w:sz w:val="20"/>
                <w:szCs w:val="20"/>
              </w:rPr>
            </w:pPr>
            <w:r w:rsidRPr="008C0D51">
              <w:rPr>
                <w:rFonts w:ascii="Arial" w:hAnsi="Arial" w:cs="Arial"/>
                <w:b/>
                <w:bCs/>
                <w:color w:val="002060"/>
                <w:sz w:val="20"/>
                <w:szCs w:val="20"/>
              </w:rPr>
              <w:t>%</w:t>
            </w:r>
          </w:p>
        </w:tc>
      </w:tr>
      <w:tr w:rsidR="008C0D51" w:rsidRPr="008C0D51" w:rsidTr="008C0D51">
        <w:trPr>
          <w:trHeight w:val="374"/>
        </w:trPr>
        <w:tc>
          <w:tcPr>
            <w:tcW w:w="4076" w:type="dxa"/>
            <w:gridSpan w:val="3"/>
            <w:tcBorders>
              <w:top w:val="nil"/>
              <w:left w:val="single" w:sz="4" w:space="0" w:color="auto"/>
              <w:bottom w:val="single" w:sz="4" w:space="0" w:color="auto"/>
              <w:right w:val="single" w:sz="4" w:space="0" w:color="auto"/>
            </w:tcBorders>
            <w:shd w:val="clear" w:color="000000" w:fill="E7E6E6"/>
            <w:noWrap/>
            <w:vAlign w:val="bottom"/>
            <w:hideMark/>
          </w:tcPr>
          <w:p w:rsidR="008C0D51" w:rsidRPr="008C0D51" w:rsidRDefault="008C0D51">
            <w:pPr>
              <w:rPr>
                <w:rFonts w:ascii="Arial" w:hAnsi="Arial" w:cs="Arial"/>
                <w:b/>
                <w:bCs/>
                <w:color w:val="002060"/>
                <w:sz w:val="20"/>
                <w:szCs w:val="20"/>
              </w:rPr>
            </w:pPr>
            <w:r w:rsidRPr="008C0D51">
              <w:rPr>
                <w:rFonts w:ascii="Arial" w:hAnsi="Arial" w:cs="Arial"/>
                <w:b/>
                <w:bCs/>
                <w:color w:val="002060"/>
                <w:sz w:val="20"/>
                <w:szCs w:val="20"/>
              </w:rPr>
              <w:t xml:space="preserve"> A) PATRIMONI NET</w:t>
            </w:r>
          </w:p>
        </w:tc>
        <w:tc>
          <w:tcPr>
            <w:tcW w:w="1180" w:type="dxa"/>
            <w:gridSpan w:val="2"/>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243.803</w:t>
            </w:r>
          </w:p>
        </w:tc>
        <w:tc>
          <w:tcPr>
            <w:tcW w:w="1012" w:type="dxa"/>
            <w:gridSpan w:val="2"/>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74,28%</w:t>
            </w:r>
          </w:p>
        </w:tc>
        <w:tc>
          <w:tcPr>
            <w:tcW w:w="1180" w:type="dxa"/>
            <w:gridSpan w:val="3"/>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210.588</w:t>
            </w:r>
          </w:p>
        </w:tc>
        <w:tc>
          <w:tcPr>
            <w:tcW w:w="1012" w:type="dxa"/>
            <w:gridSpan w:val="2"/>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78,44%</w:t>
            </w:r>
          </w:p>
        </w:tc>
        <w:tc>
          <w:tcPr>
            <w:tcW w:w="1180" w:type="dxa"/>
            <w:gridSpan w:val="3"/>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185.894</w:t>
            </w:r>
          </w:p>
        </w:tc>
        <w:tc>
          <w:tcPr>
            <w:tcW w:w="949" w:type="dxa"/>
            <w:gridSpan w:val="2"/>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77,57%</w:t>
            </w:r>
          </w:p>
        </w:tc>
        <w:tc>
          <w:tcPr>
            <w:tcW w:w="1066" w:type="dxa"/>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163.177</w:t>
            </w:r>
          </w:p>
        </w:tc>
        <w:tc>
          <w:tcPr>
            <w:tcW w:w="949" w:type="dxa"/>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74,86%</w:t>
            </w:r>
          </w:p>
        </w:tc>
        <w:tc>
          <w:tcPr>
            <w:tcW w:w="1066" w:type="dxa"/>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139.920</w:t>
            </w:r>
          </w:p>
        </w:tc>
        <w:tc>
          <w:tcPr>
            <w:tcW w:w="949" w:type="dxa"/>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72,87%</w:t>
            </w:r>
          </w:p>
        </w:tc>
      </w:tr>
      <w:tr w:rsidR="008C0D51" w:rsidRPr="008C0D51" w:rsidTr="008C0D51">
        <w:trPr>
          <w:trHeight w:val="374"/>
        </w:trPr>
        <w:tc>
          <w:tcPr>
            <w:tcW w:w="4076" w:type="dxa"/>
            <w:gridSpan w:val="3"/>
            <w:tcBorders>
              <w:top w:val="nil"/>
              <w:left w:val="single" w:sz="4" w:space="0" w:color="auto"/>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xml:space="preserve"> Fons propis</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243.803</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74,28%</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210.588</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78,44%</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185.894</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77,57%</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163.177</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74,86%</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139.920</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72,87%</w:t>
            </w:r>
          </w:p>
        </w:tc>
      </w:tr>
      <w:tr w:rsidR="008C0D51" w:rsidRPr="008C0D51" w:rsidTr="008C0D51">
        <w:trPr>
          <w:trHeight w:val="374"/>
        </w:trPr>
        <w:tc>
          <w:tcPr>
            <w:tcW w:w="4076" w:type="dxa"/>
            <w:gridSpan w:val="3"/>
            <w:tcBorders>
              <w:top w:val="nil"/>
              <w:left w:val="single" w:sz="4" w:space="0" w:color="auto"/>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xml:space="preserve">  Capital subscrit</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30.000</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9,14%</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30.000</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11,17%</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30.000</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12,52%</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30.000</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13,76%</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30.000</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15,62%</w:t>
            </w:r>
          </w:p>
        </w:tc>
      </w:tr>
      <w:tr w:rsidR="008C0D51" w:rsidRPr="008C0D51" w:rsidTr="008C0D51">
        <w:trPr>
          <w:trHeight w:val="374"/>
        </w:trPr>
        <w:tc>
          <w:tcPr>
            <w:tcW w:w="4076" w:type="dxa"/>
            <w:gridSpan w:val="3"/>
            <w:tcBorders>
              <w:top w:val="nil"/>
              <w:left w:val="single" w:sz="4" w:space="0" w:color="auto"/>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xml:space="preserve">  Altres fons propis</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213.803</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65,14%</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180.588</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67,26%</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155.894</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65,05%</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133.177</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61,09%</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109.920</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57,25%</w:t>
            </w:r>
          </w:p>
        </w:tc>
      </w:tr>
      <w:tr w:rsidR="008C0D51" w:rsidRPr="008C0D51" w:rsidTr="008C0D51">
        <w:trPr>
          <w:trHeight w:val="374"/>
        </w:trPr>
        <w:tc>
          <w:tcPr>
            <w:tcW w:w="4076" w:type="dxa"/>
            <w:gridSpan w:val="3"/>
            <w:tcBorders>
              <w:top w:val="nil"/>
              <w:left w:val="single" w:sz="4" w:space="0" w:color="auto"/>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b/>
                <w:bCs/>
                <w:color w:val="002060"/>
                <w:sz w:val="20"/>
                <w:szCs w:val="20"/>
              </w:rPr>
            </w:pPr>
            <w:r w:rsidRPr="008C0D51">
              <w:rPr>
                <w:rFonts w:ascii="Arial" w:hAnsi="Arial" w:cs="Arial"/>
                <w:b/>
                <w:bCs/>
                <w:color w:val="002060"/>
                <w:sz w:val="20"/>
                <w:szCs w:val="20"/>
              </w:rPr>
              <w:t> </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r>
      <w:tr w:rsidR="008C0D51" w:rsidRPr="008C0D51" w:rsidTr="008C0D51">
        <w:trPr>
          <w:trHeight w:val="374"/>
        </w:trPr>
        <w:tc>
          <w:tcPr>
            <w:tcW w:w="4076" w:type="dxa"/>
            <w:gridSpan w:val="3"/>
            <w:tcBorders>
              <w:top w:val="nil"/>
              <w:left w:val="single" w:sz="4" w:space="0" w:color="auto"/>
              <w:bottom w:val="single" w:sz="4" w:space="0" w:color="auto"/>
              <w:right w:val="single" w:sz="4" w:space="0" w:color="auto"/>
            </w:tcBorders>
            <w:shd w:val="clear" w:color="000000" w:fill="E7E6E6"/>
            <w:noWrap/>
            <w:vAlign w:val="bottom"/>
            <w:hideMark/>
          </w:tcPr>
          <w:p w:rsidR="008C0D51" w:rsidRPr="008C0D51" w:rsidRDefault="008C0D51">
            <w:pPr>
              <w:rPr>
                <w:rFonts w:ascii="Arial" w:hAnsi="Arial" w:cs="Arial"/>
                <w:b/>
                <w:bCs/>
                <w:color w:val="002060"/>
                <w:sz w:val="20"/>
                <w:szCs w:val="20"/>
              </w:rPr>
            </w:pPr>
            <w:r w:rsidRPr="008C0D51">
              <w:rPr>
                <w:rFonts w:ascii="Arial" w:hAnsi="Arial" w:cs="Arial"/>
                <w:b/>
                <w:bCs/>
                <w:color w:val="002060"/>
                <w:sz w:val="20"/>
                <w:szCs w:val="20"/>
              </w:rPr>
              <w:t xml:space="preserve"> B) PASSIU NO CORRENT</w:t>
            </w:r>
          </w:p>
        </w:tc>
        <w:tc>
          <w:tcPr>
            <w:tcW w:w="1180" w:type="dxa"/>
            <w:gridSpan w:val="2"/>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26.853</w:t>
            </w:r>
          </w:p>
        </w:tc>
        <w:tc>
          <w:tcPr>
            <w:tcW w:w="1012" w:type="dxa"/>
            <w:gridSpan w:val="2"/>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8,18%</w:t>
            </w:r>
          </w:p>
        </w:tc>
        <w:tc>
          <w:tcPr>
            <w:tcW w:w="1180" w:type="dxa"/>
            <w:gridSpan w:val="3"/>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12.790</w:t>
            </w:r>
          </w:p>
        </w:tc>
        <w:tc>
          <w:tcPr>
            <w:tcW w:w="1012" w:type="dxa"/>
            <w:gridSpan w:val="2"/>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4,76%</w:t>
            </w:r>
          </w:p>
        </w:tc>
        <w:tc>
          <w:tcPr>
            <w:tcW w:w="1180" w:type="dxa"/>
            <w:gridSpan w:val="3"/>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6.636</w:t>
            </w:r>
          </w:p>
        </w:tc>
        <w:tc>
          <w:tcPr>
            <w:tcW w:w="949" w:type="dxa"/>
            <w:gridSpan w:val="2"/>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2,77%</w:t>
            </w:r>
          </w:p>
        </w:tc>
        <w:tc>
          <w:tcPr>
            <w:tcW w:w="1066" w:type="dxa"/>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7.348</w:t>
            </w:r>
          </w:p>
        </w:tc>
        <w:tc>
          <w:tcPr>
            <w:tcW w:w="949" w:type="dxa"/>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3,37%</w:t>
            </w:r>
          </w:p>
        </w:tc>
        <w:tc>
          <w:tcPr>
            <w:tcW w:w="1066" w:type="dxa"/>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7.362</w:t>
            </w:r>
          </w:p>
        </w:tc>
        <w:tc>
          <w:tcPr>
            <w:tcW w:w="949" w:type="dxa"/>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3,83%</w:t>
            </w:r>
          </w:p>
        </w:tc>
      </w:tr>
      <w:tr w:rsidR="008C0D51" w:rsidRPr="008C0D51" w:rsidTr="008C0D51">
        <w:trPr>
          <w:trHeight w:val="374"/>
        </w:trPr>
        <w:tc>
          <w:tcPr>
            <w:tcW w:w="4076" w:type="dxa"/>
            <w:gridSpan w:val="3"/>
            <w:tcBorders>
              <w:top w:val="nil"/>
              <w:left w:val="single" w:sz="4" w:space="0" w:color="auto"/>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Creditors a ll/t</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24.790</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7,55%</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11.045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4,11%</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4.753</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1,98%</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5.425</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2,49%</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5.042</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2,63%</w:t>
            </w:r>
          </w:p>
        </w:tc>
      </w:tr>
      <w:tr w:rsidR="008C0D51" w:rsidRPr="008C0D51" w:rsidTr="008C0D51">
        <w:trPr>
          <w:trHeight w:val="374"/>
        </w:trPr>
        <w:tc>
          <w:tcPr>
            <w:tcW w:w="4076" w:type="dxa"/>
            <w:gridSpan w:val="3"/>
            <w:tcBorders>
              <w:top w:val="nil"/>
              <w:left w:val="single" w:sz="4" w:space="0" w:color="auto"/>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Altres passius fixos</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2.063</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0,63%</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1.745</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0,65%</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1.883</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0,79%</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1.923</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0,88%</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2.320</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1,21%</w:t>
            </w:r>
          </w:p>
        </w:tc>
      </w:tr>
      <w:tr w:rsidR="008C0D51" w:rsidRPr="008C0D51" w:rsidTr="008C0D51">
        <w:trPr>
          <w:trHeight w:val="374"/>
        </w:trPr>
        <w:tc>
          <w:tcPr>
            <w:tcW w:w="4076" w:type="dxa"/>
            <w:gridSpan w:val="3"/>
            <w:tcBorders>
              <w:top w:val="nil"/>
              <w:left w:val="single" w:sz="4" w:space="0" w:color="auto"/>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Provisions</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953</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0,29%</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951</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0,35%</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607</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0,25%</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278</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0,13%</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176</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0,09%</w:t>
            </w:r>
          </w:p>
        </w:tc>
      </w:tr>
      <w:tr w:rsidR="008C0D51" w:rsidRPr="008C0D51" w:rsidTr="008C0D51">
        <w:trPr>
          <w:trHeight w:val="374"/>
        </w:trPr>
        <w:tc>
          <w:tcPr>
            <w:tcW w:w="4076" w:type="dxa"/>
            <w:gridSpan w:val="3"/>
            <w:tcBorders>
              <w:top w:val="nil"/>
              <w:left w:val="single" w:sz="4" w:space="0" w:color="auto"/>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r>
      <w:tr w:rsidR="008C0D51" w:rsidRPr="008C0D51" w:rsidTr="008C0D51">
        <w:trPr>
          <w:trHeight w:val="374"/>
        </w:trPr>
        <w:tc>
          <w:tcPr>
            <w:tcW w:w="4076" w:type="dxa"/>
            <w:gridSpan w:val="3"/>
            <w:tcBorders>
              <w:top w:val="nil"/>
              <w:left w:val="single" w:sz="4" w:space="0" w:color="auto"/>
              <w:bottom w:val="single" w:sz="4" w:space="0" w:color="auto"/>
              <w:right w:val="single" w:sz="4" w:space="0" w:color="auto"/>
            </w:tcBorders>
            <w:shd w:val="clear" w:color="000000" w:fill="E7E6E6"/>
            <w:noWrap/>
            <w:vAlign w:val="bottom"/>
            <w:hideMark/>
          </w:tcPr>
          <w:p w:rsidR="008C0D51" w:rsidRPr="008C0D51" w:rsidRDefault="008C0D51">
            <w:pPr>
              <w:rPr>
                <w:rFonts w:ascii="Arial" w:hAnsi="Arial" w:cs="Arial"/>
                <w:b/>
                <w:bCs/>
                <w:color w:val="002060"/>
                <w:sz w:val="20"/>
                <w:szCs w:val="20"/>
              </w:rPr>
            </w:pPr>
            <w:r w:rsidRPr="008C0D51">
              <w:rPr>
                <w:rFonts w:ascii="Arial" w:hAnsi="Arial" w:cs="Arial"/>
                <w:b/>
                <w:bCs/>
                <w:color w:val="002060"/>
                <w:sz w:val="20"/>
                <w:szCs w:val="20"/>
              </w:rPr>
              <w:t xml:space="preserve"> C) PASSIU CORRENT</w:t>
            </w:r>
          </w:p>
        </w:tc>
        <w:tc>
          <w:tcPr>
            <w:tcW w:w="1180" w:type="dxa"/>
            <w:gridSpan w:val="2"/>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57.553</w:t>
            </w:r>
          </w:p>
        </w:tc>
        <w:tc>
          <w:tcPr>
            <w:tcW w:w="1012" w:type="dxa"/>
            <w:gridSpan w:val="2"/>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17,54%</w:t>
            </w:r>
          </w:p>
        </w:tc>
        <w:tc>
          <w:tcPr>
            <w:tcW w:w="1180" w:type="dxa"/>
            <w:gridSpan w:val="3"/>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45.096</w:t>
            </w:r>
          </w:p>
        </w:tc>
        <w:tc>
          <w:tcPr>
            <w:tcW w:w="1012" w:type="dxa"/>
            <w:gridSpan w:val="2"/>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16,80%</w:t>
            </w:r>
          </w:p>
        </w:tc>
        <w:tc>
          <w:tcPr>
            <w:tcW w:w="1180" w:type="dxa"/>
            <w:gridSpan w:val="3"/>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47.108</w:t>
            </w:r>
          </w:p>
        </w:tc>
        <w:tc>
          <w:tcPr>
            <w:tcW w:w="949" w:type="dxa"/>
            <w:gridSpan w:val="2"/>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19,66%</w:t>
            </w:r>
          </w:p>
        </w:tc>
        <w:tc>
          <w:tcPr>
            <w:tcW w:w="1066" w:type="dxa"/>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47.462</w:t>
            </w:r>
          </w:p>
        </w:tc>
        <w:tc>
          <w:tcPr>
            <w:tcW w:w="949" w:type="dxa"/>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21,77%</w:t>
            </w:r>
          </w:p>
        </w:tc>
        <w:tc>
          <w:tcPr>
            <w:tcW w:w="1066" w:type="dxa"/>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44.723</w:t>
            </w:r>
          </w:p>
        </w:tc>
        <w:tc>
          <w:tcPr>
            <w:tcW w:w="949" w:type="dxa"/>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23,29%</w:t>
            </w:r>
          </w:p>
        </w:tc>
      </w:tr>
      <w:tr w:rsidR="008C0D51" w:rsidRPr="008C0D51" w:rsidTr="008C0D51">
        <w:trPr>
          <w:trHeight w:val="374"/>
        </w:trPr>
        <w:tc>
          <w:tcPr>
            <w:tcW w:w="4076" w:type="dxa"/>
            <w:gridSpan w:val="3"/>
            <w:tcBorders>
              <w:top w:val="nil"/>
              <w:left w:val="single" w:sz="4" w:space="0" w:color="auto"/>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Deutes amb entitats financeres a c/t</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3.227</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0,98%</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2.050</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0,76%</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2.233</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0,93%</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794</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0,36%</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603</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0,31%</w:t>
            </w:r>
          </w:p>
        </w:tc>
      </w:tr>
      <w:tr w:rsidR="008C0D51" w:rsidRPr="008C0D51" w:rsidTr="008C0D51">
        <w:trPr>
          <w:trHeight w:val="374"/>
        </w:trPr>
        <w:tc>
          <w:tcPr>
            <w:tcW w:w="4076" w:type="dxa"/>
            <w:gridSpan w:val="3"/>
            <w:tcBorders>
              <w:top w:val="nil"/>
              <w:left w:val="single" w:sz="4" w:space="0" w:color="auto"/>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Creditors comercials</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18.428</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5,61%</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18.587</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6,92%</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17.355</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7,24%</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17.636</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8,09%</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16.087</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8,38%</w:t>
            </w:r>
          </w:p>
        </w:tc>
      </w:tr>
      <w:tr w:rsidR="008C0D51" w:rsidRPr="008C0D51" w:rsidTr="008C0D51">
        <w:trPr>
          <w:trHeight w:val="374"/>
        </w:trPr>
        <w:tc>
          <w:tcPr>
            <w:tcW w:w="4076" w:type="dxa"/>
            <w:gridSpan w:val="3"/>
            <w:tcBorders>
              <w:top w:val="nil"/>
              <w:left w:val="single" w:sz="4" w:space="0" w:color="auto"/>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Altres passius líquids</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35.898</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10,94%</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24.459</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9,11%</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27.520</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11,48%</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29.032</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13,32%</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28.033</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14,60%</w:t>
            </w:r>
          </w:p>
        </w:tc>
      </w:tr>
      <w:tr w:rsidR="008C0D51" w:rsidRPr="008C0D51" w:rsidTr="008C0D51">
        <w:trPr>
          <w:trHeight w:val="374"/>
        </w:trPr>
        <w:tc>
          <w:tcPr>
            <w:tcW w:w="4076" w:type="dxa"/>
            <w:gridSpan w:val="3"/>
            <w:tcBorders>
              <w:top w:val="nil"/>
              <w:left w:val="single" w:sz="4" w:space="0" w:color="auto"/>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rPr>
                <w:rFonts w:ascii="Arial" w:hAnsi="Arial" w:cs="Arial"/>
                <w:color w:val="002060"/>
                <w:sz w:val="20"/>
                <w:szCs w:val="20"/>
              </w:rPr>
            </w:pPr>
            <w:r w:rsidRPr="008C0D51">
              <w:rPr>
                <w:rFonts w:ascii="Arial" w:hAnsi="Arial" w:cs="Arial"/>
                <w:color w:val="002060"/>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0,00%</w:t>
            </w:r>
          </w:p>
        </w:tc>
      </w:tr>
      <w:tr w:rsidR="008C0D51" w:rsidRPr="008C0D51" w:rsidTr="008C0D51">
        <w:trPr>
          <w:trHeight w:val="374"/>
        </w:trPr>
        <w:tc>
          <w:tcPr>
            <w:tcW w:w="4076" w:type="dxa"/>
            <w:gridSpan w:val="3"/>
            <w:tcBorders>
              <w:top w:val="nil"/>
              <w:left w:val="single" w:sz="4" w:space="0" w:color="auto"/>
              <w:bottom w:val="single" w:sz="4" w:space="0" w:color="auto"/>
              <w:right w:val="single" w:sz="4" w:space="0" w:color="auto"/>
            </w:tcBorders>
            <w:shd w:val="clear" w:color="000000" w:fill="E7E6E6"/>
            <w:noWrap/>
            <w:vAlign w:val="bottom"/>
            <w:hideMark/>
          </w:tcPr>
          <w:p w:rsidR="008C0D51" w:rsidRPr="008C0D51" w:rsidRDefault="008C0D51">
            <w:pPr>
              <w:rPr>
                <w:rFonts w:ascii="Arial" w:hAnsi="Arial" w:cs="Arial"/>
                <w:b/>
                <w:bCs/>
                <w:color w:val="002060"/>
                <w:sz w:val="20"/>
                <w:szCs w:val="20"/>
              </w:rPr>
            </w:pPr>
            <w:r w:rsidRPr="008C0D51">
              <w:rPr>
                <w:rFonts w:ascii="Arial" w:hAnsi="Arial" w:cs="Arial"/>
                <w:b/>
                <w:bCs/>
                <w:color w:val="002060"/>
                <w:sz w:val="20"/>
                <w:szCs w:val="20"/>
              </w:rPr>
              <w:t>TOTAL PATRIMONI NET + PASSIU</w:t>
            </w:r>
          </w:p>
        </w:tc>
        <w:tc>
          <w:tcPr>
            <w:tcW w:w="1180" w:type="dxa"/>
            <w:gridSpan w:val="2"/>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328.209</w:t>
            </w:r>
          </w:p>
        </w:tc>
        <w:tc>
          <w:tcPr>
            <w:tcW w:w="1012" w:type="dxa"/>
            <w:gridSpan w:val="2"/>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100,00%</w:t>
            </w:r>
          </w:p>
        </w:tc>
        <w:tc>
          <w:tcPr>
            <w:tcW w:w="1180" w:type="dxa"/>
            <w:gridSpan w:val="3"/>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268.474</w:t>
            </w:r>
          </w:p>
        </w:tc>
        <w:tc>
          <w:tcPr>
            <w:tcW w:w="1012" w:type="dxa"/>
            <w:gridSpan w:val="2"/>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100,00%</w:t>
            </w:r>
          </w:p>
        </w:tc>
        <w:tc>
          <w:tcPr>
            <w:tcW w:w="1180" w:type="dxa"/>
            <w:gridSpan w:val="3"/>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239.638</w:t>
            </w:r>
          </w:p>
        </w:tc>
        <w:tc>
          <w:tcPr>
            <w:tcW w:w="949" w:type="dxa"/>
            <w:gridSpan w:val="2"/>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100,00%</w:t>
            </w:r>
          </w:p>
        </w:tc>
        <w:tc>
          <w:tcPr>
            <w:tcW w:w="1066" w:type="dxa"/>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217.987</w:t>
            </w:r>
          </w:p>
        </w:tc>
        <w:tc>
          <w:tcPr>
            <w:tcW w:w="949" w:type="dxa"/>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100,00%</w:t>
            </w:r>
          </w:p>
        </w:tc>
        <w:tc>
          <w:tcPr>
            <w:tcW w:w="1066" w:type="dxa"/>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b/>
                <w:bCs/>
                <w:color w:val="002060"/>
                <w:sz w:val="20"/>
                <w:szCs w:val="20"/>
              </w:rPr>
            </w:pPr>
            <w:r w:rsidRPr="008C0D51">
              <w:rPr>
                <w:rFonts w:ascii="Arial" w:hAnsi="Arial" w:cs="Arial"/>
                <w:b/>
                <w:bCs/>
                <w:color w:val="002060"/>
                <w:sz w:val="20"/>
                <w:szCs w:val="20"/>
              </w:rPr>
              <w:t>192.005</w:t>
            </w:r>
          </w:p>
        </w:tc>
        <w:tc>
          <w:tcPr>
            <w:tcW w:w="949" w:type="dxa"/>
            <w:tcBorders>
              <w:top w:val="nil"/>
              <w:left w:val="nil"/>
              <w:bottom w:val="single" w:sz="4" w:space="0" w:color="auto"/>
              <w:right w:val="single" w:sz="4" w:space="0" w:color="auto"/>
            </w:tcBorders>
            <w:shd w:val="clear" w:color="000000" w:fill="E7E6E6"/>
            <w:noWrap/>
            <w:vAlign w:val="bottom"/>
            <w:hideMark/>
          </w:tcPr>
          <w:p w:rsidR="008C0D51" w:rsidRPr="008C0D51" w:rsidRDefault="008C0D51">
            <w:pPr>
              <w:jc w:val="right"/>
              <w:rPr>
                <w:rFonts w:ascii="Arial" w:hAnsi="Arial" w:cs="Arial"/>
                <w:color w:val="002060"/>
                <w:sz w:val="20"/>
                <w:szCs w:val="20"/>
              </w:rPr>
            </w:pPr>
            <w:r w:rsidRPr="008C0D51">
              <w:rPr>
                <w:rFonts w:ascii="Arial" w:hAnsi="Arial" w:cs="Arial"/>
                <w:color w:val="002060"/>
                <w:sz w:val="20"/>
                <w:szCs w:val="20"/>
              </w:rPr>
              <w:t>100,00%</w:t>
            </w:r>
          </w:p>
        </w:tc>
      </w:tr>
      <w:tr w:rsidR="008C0D51" w:rsidRPr="008C0D51" w:rsidTr="008C0D51">
        <w:trPr>
          <w:gridAfter w:val="5"/>
          <w:wAfter w:w="4433" w:type="dxa"/>
          <w:trHeight w:val="472"/>
        </w:trPr>
        <w:tc>
          <w:tcPr>
            <w:tcW w:w="7185" w:type="dxa"/>
            <w:gridSpan w:val="9"/>
            <w:tcBorders>
              <w:top w:val="nil"/>
              <w:left w:val="nil"/>
              <w:bottom w:val="nil"/>
              <w:right w:val="nil"/>
            </w:tcBorders>
            <w:shd w:val="clear" w:color="auto" w:fill="auto"/>
            <w:noWrap/>
            <w:vAlign w:val="bottom"/>
          </w:tcPr>
          <w:p w:rsidR="00B4573E" w:rsidRPr="00AE1EC6" w:rsidRDefault="00B665AE" w:rsidP="00B4573E">
            <w:pPr>
              <w:rPr>
                <w:rFonts w:ascii="Arial" w:hAnsi="Arial" w:cs="Arial"/>
                <w:b/>
                <w:bCs/>
                <w:color w:val="002060"/>
                <w:sz w:val="14"/>
                <w:szCs w:val="14"/>
              </w:rPr>
            </w:pPr>
            <w:r w:rsidRPr="00AE1EC6">
              <w:rPr>
                <w:rFonts w:ascii="Arial" w:hAnsi="Arial" w:cs="Arial"/>
                <w:color w:val="002060"/>
                <w:sz w:val="14"/>
                <w:szCs w:val="14"/>
              </w:rPr>
              <w:t>Font: Elaboració pròpia a partir dels balanços consolidats de Laboratoris Hipra</w:t>
            </w:r>
          </w:p>
        </w:tc>
        <w:tc>
          <w:tcPr>
            <w:tcW w:w="706" w:type="dxa"/>
            <w:gridSpan w:val="2"/>
            <w:tcBorders>
              <w:top w:val="nil"/>
              <w:left w:val="nil"/>
              <w:bottom w:val="nil"/>
              <w:right w:val="nil"/>
            </w:tcBorders>
            <w:shd w:val="clear" w:color="auto" w:fill="auto"/>
            <w:noWrap/>
            <w:vAlign w:val="bottom"/>
          </w:tcPr>
          <w:p w:rsidR="00B4573E" w:rsidRPr="00B4573E" w:rsidRDefault="00B4573E" w:rsidP="00B4573E">
            <w:pPr>
              <w:rPr>
                <w:rFonts w:ascii="Arial" w:hAnsi="Arial" w:cs="Arial"/>
                <w:b/>
                <w:bCs/>
                <w:color w:val="002060"/>
                <w:sz w:val="20"/>
                <w:szCs w:val="20"/>
              </w:rPr>
            </w:pPr>
          </w:p>
        </w:tc>
        <w:tc>
          <w:tcPr>
            <w:tcW w:w="794" w:type="dxa"/>
            <w:gridSpan w:val="2"/>
            <w:tcBorders>
              <w:top w:val="nil"/>
              <w:left w:val="nil"/>
              <w:bottom w:val="nil"/>
              <w:right w:val="nil"/>
            </w:tcBorders>
            <w:shd w:val="clear" w:color="auto" w:fill="auto"/>
            <w:noWrap/>
            <w:vAlign w:val="bottom"/>
          </w:tcPr>
          <w:p w:rsidR="00B4573E" w:rsidRPr="00B4573E" w:rsidRDefault="00B4573E" w:rsidP="00B4573E">
            <w:pPr>
              <w:rPr>
                <w:rFonts w:ascii="Arial" w:hAnsi="Arial" w:cs="Arial"/>
                <w:color w:val="002060"/>
                <w:sz w:val="20"/>
                <w:szCs w:val="20"/>
              </w:rPr>
            </w:pPr>
          </w:p>
        </w:tc>
        <w:tc>
          <w:tcPr>
            <w:tcW w:w="707" w:type="dxa"/>
            <w:tcBorders>
              <w:top w:val="nil"/>
              <w:left w:val="nil"/>
              <w:bottom w:val="nil"/>
              <w:right w:val="nil"/>
            </w:tcBorders>
            <w:shd w:val="clear" w:color="auto" w:fill="auto"/>
            <w:noWrap/>
            <w:vAlign w:val="bottom"/>
          </w:tcPr>
          <w:p w:rsidR="00B4573E" w:rsidRPr="00B4573E" w:rsidRDefault="00B4573E" w:rsidP="00B4573E">
            <w:pPr>
              <w:rPr>
                <w:rFonts w:ascii="Arial" w:hAnsi="Arial" w:cs="Arial"/>
                <w:color w:val="002060"/>
                <w:sz w:val="20"/>
                <w:szCs w:val="20"/>
              </w:rPr>
            </w:pPr>
          </w:p>
        </w:tc>
        <w:tc>
          <w:tcPr>
            <w:tcW w:w="794" w:type="dxa"/>
            <w:gridSpan w:val="2"/>
            <w:tcBorders>
              <w:top w:val="nil"/>
              <w:left w:val="nil"/>
              <w:bottom w:val="nil"/>
              <w:right w:val="nil"/>
            </w:tcBorders>
            <w:shd w:val="clear" w:color="auto" w:fill="auto"/>
            <w:noWrap/>
            <w:vAlign w:val="bottom"/>
          </w:tcPr>
          <w:p w:rsidR="00B4573E" w:rsidRPr="00B4573E" w:rsidRDefault="00B4573E" w:rsidP="00B4573E">
            <w:pPr>
              <w:rPr>
                <w:rFonts w:ascii="Arial" w:hAnsi="Arial" w:cs="Arial"/>
                <w:color w:val="002060"/>
                <w:sz w:val="20"/>
                <w:szCs w:val="20"/>
              </w:rPr>
            </w:pPr>
          </w:p>
        </w:tc>
      </w:tr>
      <w:tr w:rsidR="00246CE6" w:rsidRPr="008C0D51" w:rsidTr="008C0D51">
        <w:trPr>
          <w:gridAfter w:val="5"/>
          <w:wAfter w:w="4433" w:type="dxa"/>
          <w:trHeight w:val="472"/>
        </w:trPr>
        <w:tc>
          <w:tcPr>
            <w:tcW w:w="3037" w:type="dxa"/>
            <w:tcBorders>
              <w:top w:val="nil"/>
              <w:left w:val="nil"/>
              <w:bottom w:val="nil"/>
              <w:right w:val="nil"/>
            </w:tcBorders>
            <w:shd w:val="clear" w:color="auto" w:fill="auto"/>
            <w:noWrap/>
            <w:vAlign w:val="bottom"/>
            <w:hideMark/>
          </w:tcPr>
          <w:p w:rsidR="00B4573E" w:rsidRPr="00B4573E" w:rsidRDefault="00B4573E" w:rsidP="00B4573E">
            <w:pPr>
              <w:rPr>
                <w:sz w:val="20"/>
                <w:szCs w:val="20"/>
              </w:rPr>
            </w:pPr>
          </w:p>
        </w:tc>
        <w:tc>
          <w:tcPr>
            <w:tcW w:w="879" w:type="dxa"/>
            <w:tcBorders>
              <w:top w:val="nil"/>
              <w:left w:val="nil"/>
              <w:bottom w:val="nil"/>
              <w:right w:val="nil"/>
            </w:tcBorders>
            <w:shd w:val="clear" w:color="auto" w:fill="auto"/>
            <w:noWrap/>
            <w:vAlign w:val="bottom"/>
            <w:hideMark/>
          </w:tcPr>
          <w:p w:rsidR="00B4573E" w:rsidRPr="00B4573E" w:rsidRDefault="00B4573E" w:rsidP="00B4573E">
            <w:pPr>
              <w:rPr>
                <w:sz w:val="20"/>
                <w:szCs w:val="20"/>
              </w:rPr>
            </w:pPr>
          </w:p>
        </w:tc>
        <w:tc>
          <w:tcPr>
            <w:tcW w:w="754" w:type="dxa"/>
            <w:gridSpan w:val="2"/>
            <w:tcBorders>
              <w:top w:val="nil"/>
              <w:left w:val="nil"/>
              <w:bottom w:val="nil"/>
              <w:right w:val="nil"/>
            </w:tcBorders>
            <w:shd w:val="clear" w:color="auto" w:fill="auto"/>
            <w:noWrap/>
            <w:vAlign w:val="bottom"/>
            <w:hideMark/>
          </w:tcPr>
          <w:p w:rsidR="00B4573E" w:rsidRPr="00B4573E" w:rsidRDefault="00B4573E" w:rsidP="00B4573E">
            <w:pPr>
              <w:rPr>
                <w:sz w:val="20"/>
                <w:szCs w:val="20"/>
              </w:rPr>
            </w:pPr>
          </w:p>
        </w:tc>
        <w:tc>
          <w:tcPr>
            <w:tcW w:w="879" w:type="dxa"/>
            <w:gridSpan w:val="2"/>
            <w:tcBorders>
              <w:top w:val="nil"/>
              <w:left w:val="nil"/>
              <w:bottom w:val="nil"/>
              <w:right w:val="nil"/>
            </w:tcBorders>
            <w:shd w:val="clear" w:color="auto" w:fill="auto"/>
            <w:noWrap/>
            <w:vAlign w:val="bottom"/>
            <w:hideMark/>
          </w:tcPr>
          <w:p w:rsidR="00B4573E" w:rsidRPr="00B4573E" w:rsidRDefault="00B4573E" w:rsidP="00B4573E">
            <w:pPr>
              <w:rPr>
                <w:sz w:val="20"/>
                <w:szCs w:val="20"/>
              </w:rPr>
            </w:pPr>
          </w:p>
        </w:tc>
        <w:tc>
          <w:tcPr>
            <w:tcW w:w="754" w:type="dxa"/>
            <w:gridSpan w:val="2"/>
            <w:tcBorders>
              <w:top w:val="nil"/>
              <w:left w:val="nil"/>
              <w:bottom w:val="nil"/>
              <w:right w:val="nil"/>
            </w:tcBorders>
            <w:shd w:val="clear" w:color="auto" w:fill="auto"/>
            <w:noWrap/>
            <w:vAlign w:val="bottom"/>
            <w:hideMark/>
          </w:tcPr>
          <w:p w:rsidR="00B4573E" w:rsidRPr="00B4573E" w:rsidRDefault="00B4573E" w:rsidP="00B4573E">
            <w:pPr>
              <w:rPr>
                <w:sz w:val="20"/>
                <w:szCs w:val="20"/>
              </w:rPr>
            </w:pPr>
          </w:p>
        </w:tc>
        <w:tc>
          <w:tcPr>
            <w:tcW w:w="882" w:type="dxa"/>
            <w:tcBorders>
              <w:top w:val="nil"/>
              <w:left w:val="nil"/>
              <w:bottom w:val="nil"/>
              <w:right w:val="nil"/>
            </w:tcBorders>
            <w:shd w:val="clear" w:color="auto" w:fill="auto"/>
            <w:noWrap/>
            <w:vAlign w:val="bottom"/>
            <w:hideMark/>
          </w:tcPr>
          <w:p w:rsidR="00B4573E" w:rsidRPr="00B4573E" w:rsidRDefault="00B4573E" w:rsidP="00B4573E">
            <w:pPr>
              <w:rPr>
                <w:sz w:val="20"/>
                <w:szCs w:val="20"/>
              </w:rPr>
            </w:pPr>
          </w:p>
        </w:tc>
        <w:tc>
          <w:tcPr>
            <w:tcW w:w="706" w:type="dxa"/>
            <w:gridSpan w:val="2"/>
            <w:tcBorders>
              <w:top w:val="nil"/>
              <w:left w:val="nil"/>
              <w:bottom w:val="nil"/>
              <w:right w:val="nil"/>
            </w:tcBorders>
            <w:shd w:val="clear" w:color="auto" w:fill="auto"/>
            <w:noWrap/>
            <w:vAlign w:val="bottom"/>
            <w:hideMark/>
          </w:tcPr>
          <w:p w:rsidR="00B4573E" w:rsidRPr="00B4573E" w:rsidRDefault="00B4573E" w:rsidP="00B4573E">
            <w:pPr>
              <w:rPr>
                <w:sz w:val="20"/>
                <w:szCs w:val="20"/>
              </w:rPr>
            </w:pPr>
          </w:p>
        </w:tc>
        <w:tc>
          <w:tcPr>
            <w:tcW w:w="794" w:type="dxa"/>
            <w:gridSpan w:val="2"/>
            <w:tcBorders>
              <w:top w:val="nil"/>
              <w:left w:val="nil"/>
              <w:bottom w:val="nil"/>
              <w:right w:val="nil"/>
            </w:tcBorders>
            <w:shd w:val="clear" w:color="auto" w:fill="auto"/>
            <w:noWrap/>
            <w:vAlign w:val="bottom"/>
            <w:hideMark/>
          </w:tcPr>
          <w:p w:rsidR="00B4573E" w:rsidRPr="00B4573E" w:rsidRDefault="00B4573E" w:rsidP="00B4573E">
            <w:pPr>
              <w:rPr>
                <w:sz w:val="20"/>
                <w:szCs w:val="20"/>
              </w:rPr>
            </w:pPr>
          </w:p>
        </w:tc>
        <w:tc>
          <w:tcPr>
            <w:tcW w:w="707" w:type="dxa"/>
            <w:tcBorders>
              <w:top w:val="nil"/>
              <w:left w:val="nil"/>
              <w:bottom w:val="nil"/>
              <w:right w:val="nil"/>
            </w:tcBorders>
            <w:shd w:val="clear" w:color="auto" w:fill="auto"/>
            <w:noWrap/>
            <w:vAlign w:val="bottom"/>
            <w:hideMark/>
          </w:tcPr>
          <w:p w:rsidR="00B4573E" w:rsidRPr="00B4573E" w:rsidRDefault="00B4573E" w:rsidP="00B4573E">
            <w:pPr>
              <w:rPr>
                <w:sz w:val="20"/>
                <w:szCs w:val="20"/>
              </w:rPr>
            </w:pPr>
          </w:p>
        </w:tc>
        <w:tc>
          <w:tcPr>
            <w:tcW w:w="794" w:type="dxa"/>
            <w:gridSpan w:val="2"/>
            <w:tcBorders>
              <w:top w:val="nil"/>
              <w:left w:val="nil"/>
              <w:bottom w:val="nil"/>
              <w:right w:val="nil"/>
            </w:tcBorders>
            <w:shd w:val="clear" w:color="auto" w:fill="auto"/>
            <w:noWrap/>
            <w:vAlign w:val="bottom"/>
            <w:hideMark/>
          </w:tcPr>
          <w:p w:rsidR="00B4573E" w:rsidRPr="00B4573E" w:rsidRDefault="00B4573E" w:rsidP="00B4573E">
            <w:pPr>
              <w:rPr>
                <w:sz w:val="20"/>
                <w:szCs w:val="20"/>
              </w:rPr>
            </w:pPr>
          </w:p>
        </w:tc>
      </w:tr>
    </w:tbl>
    <w:p w:rsidR="00B93F01" w:rsidRPr="00B4573E" w:rsidRDefault="00B93F01" w:rsidP="002D48FA">
      <w:pPr>
        <w:pStyle w:val="Prrafodelista"/>
        <w:ind w:left="0"/>
        <w:jc w:val="both"/>
        <w:rPr>
          <w:rFonts w:ascii="Arial" w:hAnsi="Arial" w:cs="Arial"/>
          <w:color w:val="000361"/>
          <w:sz w:val="20"/>
          <w:szCs w:val="20"/>
        </w:rPr>
      </w:pPr>
    </w:p>
    <w:tbl>
      <w:tblPr>
        <w:tblW w:w="14555" w:type="dxa"/>
        <w:tblCellMar>
          <w:left w:w="70" w:type="dxa"/>
          <w:right w:w="70" w:type="dxa"/>
        </w:tblCellMar>
        <w:tblLook w:val="04A0" w:firstRow="1" w:lastRow="0" w:firstColumn="1" w:lastColumn="0" w:noHBand="0" w:noVBand="1"/>
      </w:tblPr>
      <w:tblGrid>
        <w:gridCol w:w="3535"/>
        <w:gridCol w:w="1422"/>
        <w:gridCol w:w="1253"/>
        <w:gridCol w:w="1422"/>
        <w:gridCol w:w="1253"/>
        <w:gridCol w:w="1424"/>
        <w:gridCol w:w="1000"/>
        <w:gridCol w:w="1123"/>
        <w:gridCol w:w="1000"/>
        <w:gridCol w:w="1123"/>
      </w:tblGrid>
      <w:tr w:rsidR="00247311" w:rsidRPr="00EE682F" w:rsidTr="00247311">
        <w:trPr>
          <w:trHeight w:val="379"/>
        </w:trPr>
        <w:tc>
          <w:tcPr>
            <w:tcW w:w="14555" w:type="dxa"/>
            <w:gridSpan w:val="10"/>
            <w:tcBorders>
              <w:top w:val="nil"/>
              <w:left w:val="nil"/>
              <w:bottom w:val="nil"/>
              <w:right w:val="nil"/>
            </w:tcBorders>
            <w:shd w:val="clear" w:color="auto" w:fill="auto"/>
            <w:noWrap/>
            <w:vAlign w:val="bottom"/>
            <w:hideMark/>
          </w:tcPr>
          <w:p w:rsidR="00247311" w:rsidRPr="00AE1EC6" w:rsidRDefault="00247311" w:rsidP="00EE682F">
            <w:pPr>
              <w:rPr>
                <w:sz w:val="20"/>
                <w:szCs w:val="20"/>
              </w:rPr>
            </w:pPr>
            <w:r w:rsidRPr="00AE1EC6">
              <w:rPr>
                <w:rFonts w:ascii="Arial" w:hAnsi="Arial" w:cs="Arial"/>
                <w:bCs/>
                <w:color w:val="002060"/>
                <w:sz w:val="20"/>
                <w:szCs w:val="20"/>
              </w:rPr>
              <w:lastRenderedPageBreak/>
              <w:t>Taula 2.2 - Percentatges horitzontals del balanç de situació de Laboratoris Hipra s.a. pel període 2019-2015 (en milers d’€)</w:t>
            </w:r>
          </w:p>
        </w:tc>
      </w:tr>
      <w:tr w:rsidR="00EE682F" w:rsidRPr="00EE682F" w:rsidTr="00247311">
        <w:trPr>
          <w:trHeight w:val="379"/>
        </w:trPr>
        <w:tc>
          <w:tcPr>
            <w:tcW w:w="3535" w:type="dxa"/>
            <w:tcBorders>
              <w:top w:val="nil"/>
              <w:left w:val="nil"/>
              <w:bottom w:val="nil"/>
              <w:right w:val="nil"/>
            </w:tcBorders>
            <w:shd w:val="clear" w:color="auto" w:fill="auto"/>
            <w:noWrap/>
            <w:vAlign w:val="bottom"/>
            <w:hideMark/>
          </w:tcPr>
          <w:p w:rsidR="00EE682F" w:rsidRPr="00EE682F" w:rsidRDefault="00EE682F" w:rsidP="00EE682F">
            <w:pPr>
              <w:rPr>
                <w:sz w:val="20"/>
                <w:szCs w:val="20"/>
              </w:rPr>
            </w:pPr>
          </w:p>
        </w:tc>
        <w:tc>
          <w:tcPr>
            <w:tcW w:w="1422" w:type="dxa"/>
            <w:tcBorders>
              <w:top w:val="nil"/>
              <w:left w:val="nil"/>
              <w:bottom w:val="nil"/>
              <w:right w:val="nil"/>
            </w:tcBorders>
            <w:shd w:val="clear" w:color="auto" w:fill="auto"/>
            <w:noWrap/>
            <w:vAlign w:val="bottom"/>
            <w:hideMark/>
          </w:tcPr>
          <w:p w:rsidR="00EE682F" w:rsidRPr="00EE682F" w:rsidRDefault="00EE682F" w:rsidP="00EE682F">
            <w:pPr>
              <w:rPr>
                <w:sz w:val="20"/>
                <w:szCs w:val="20"/>
              </w:rPr>
            </w:pPr>
          </w:p>
        </w:tc>
        <w:tc>
          <w:tcPr>
            <w:tcW w:w="1253" w:type="dxa"/>
            <w:tcBorders>
              <w:top w:val="nil"/>
              <w:left w:val="nil"/>
              <w:bottom w:val="nil"/>
              <w:right w:val="nil"/>
            </w:tcBorders>
            <w:shd w:val="clear" w:color="auto" w:fill="auto"/>
            <w:noWrap/>
            <w:vAlign w:val="bottom"/>
            <w:hideMark/>
          </w:tcPr>
          <w:p w:rsidR="00EE682F" w:rsidRPr="00EE682F" w:rsidRDefault="00EE682F" w:rsidP="00EE682F">
            <w:pPr>
              <w:rPr>
                <w:sz w:val="20"/>
                <w:szCs w:val="20"/>
              </w:rPr>
            </w:pPr>
          </w:p>
        </w:tc>
        <w:tc>
          <w:tcPr>
            <w:tcW w:w="1422" w:type="dxa"/>
            <w:tcBorders>
              <w:top w:val="nil"/>
              <w:left w:val="nil"/>
              <w:bottom w:val="nil"/>
              <w:right w:val="nil"/>
            </w:tcBorders>
            <w:shd w:val="clear" w:color="auto" w:fill="auto"/>
            <w:noWrap/>
            <w:vAlign w:val="bottom"/>
            <w:hideMark/>
          </w:tcPr>
          <w:p w:rsidR="00EE682F" w:rsidRPr="00EE682F" w:rsidRDefault="00EE682F" w:rsidP="00EE682F">
            <w:pPr>
              <w:rPr>
                <w:sz w:val="20"/>
                <w:szCs w:val="20"/>
              </w:rPr>
            </w:pPr>
          </w:p>
        </w:tc>
        <w:tc>
          <w:tcPr>
            <w:tcW w:w="1253" w:type="dxa"/>
            <w:tcBorders>
              <w:top w:val="nil"/>
              <w:left w:val="nil"/>
              <w:bottom w:val="nil"/>
              <w:right w:val="nil"/>
            </w:tcBorders>
            <w:shd w:val="clear" w:color="auto" w:fill="auto"/>
            <w:noWrap/>
            <w:vAlign w:val="bottom"/>
            <w:hideMark/>
          </w:tcPr>
          <w:p w:rsidR="00EE682F" w:rsidRPr="00EE682F" w:rsidRDefault="00EE682F" w:rsidP="00EE682F">
            <w:pPr>
              <w:rPr>
                <w:sz w:val="20"/>
                <w:szCs w:val="20"/>
              </w:rPr>
            </w:pPr>
          </w:p>
        </w:tc>
        <w:tc>
          <w:tcPr>
            <w:tcW w:w="1424" w:type="dxa"/>
            <w:tcBorders>
              <w:top w:val="nil"/>
              <w:left w:val="nil"/>
              <w:bottom w:val="nil"/>
              <w:right w:val="nil"/>
            </w:tcBorders>
            <w:shd w:val="clear" w:color="auto" w:fill="auto"/>
            <w:noWrap/>
            <w:vAlign w:val="bottom"/>
            <w:hideMark/>
          </w:tcPr>
          <w:p w:rsidR="00EE682F" w:rsidRPr="00EE682F" w:rsidRDefault="00EE682F" w:rsidP="00EE682F">
            <w:pPr>
              <w:rPr>
                <w:sz w:val="20"/>
                <w:szCs w:val="20"/>
              </w:rPr>
            </w:pPr>
          </w:p>
        </w:tc>
        <w:tc>
          <w:tcPr>
            <w:tcW w:w="1000" w:type="dxa"/>
            <w:tcBorders>
              <w:top w:val="nil"/>
              <w:left w:val="nil"/>
              <w:bottom w:val="nil"/>
              <w:right w:val="nil"/>
            </w:tcBorders>
            <w:shd w:val="clear" w:color="auto" w:fill="auto"/>
            <w:noWrap/>
            <w:vAlign w:val="bottom"/>
            <w:hideMark/>
          </w:tcPr>
          <w:p w:rsidR="00EE682F" w:rsidRPr="00EE682F" w:rsidRDefault="00EE682F" w:rsidP="00EE682F">
            <w:pPr>
              <w:rPr>
                <w:sz w:val="20"/>
                <w:szCs w:val="20"/>
              </w:rPr>
            </w:pPr>
          </w:p>
        </w:tc>
        <w:tc>
          <w:tcPr>
            <w:tcW w:w="1123" w:type="dxa"/>
            <w:tcBorders>
              <w:top w:val="nil"/>
              <w:left w:val="nil"/>
              <w:bottom w:val="nil"/>
              <w:right w:val="nil"/>
            </w:tcBorders>
            <w:shd w:val="clear" w:color="auto" w:fill="auto"/>
            <w:noWrap/>
            <w:vAlign w:val="bottom"/>
            <w:hideMark/>
          </w:tcPr>
          <w:p w:rsidR="00EE682F" w:rsidRPr="00EE682F" w:rsidRDefault="00EE682F" w:rsidP="00EE682F">
            <w:pPr>
              <w:rPr>
                <w:sz w:val="20"/>
                <w:szCs w:val="20"/>
              </w:rPr>
            </w:pPr>
          </w:p>
        </w:tc>
        <w:tc>
          <w:tcPr>
            <w:tcW w:w="1000" w:type="dxa"/>
            <w:tcBorders>
              <w:top w:val="nil"/>
              <w:left w:val="nil"/>
              <w:bottom w:val="nil"/>
              <w:right w:val="nil"/>
            </w:tcBorders>
            <w:shd w:val="clear" w:color="auto" w:fill="auto"/>
            <w:noWrap/>
            <w:vAlign w:val="bottom"/>
            <w:hideMark/>
          </w:tcPr>
          <w:p w:rsidR="00EE682F" w:rsidRPr="00EE682F" w:rsidRDefault="00EE682F" w:rsidP="00EE682F">
            <w:pPr>
              <w:rPr>
                <w:sz w:val="20"/>
                <w:szCs w:val="20"/>
              </w:rPr>
            </w:pPr>
          </w:p>
        </w:tc>
        <w:tc>
          <w:tcPr>
            <w:tcW w:w="1123" w:type="dxa"/>
            <w:tcBorders>
              <w:top w:val="nil"/>
              <w:left w:val="nil"/>
              <w:bottom w:val="nil"/>
              <w:right w:val="nil"/>
            </w:tcBorders>
            <w:shd w:val="clear" w:color="auto" w:fill="auto"/>
            <w:noWrap/>
            <w:vAlign w:val="bottom"/>
            <w:hideMark/>
          </w:tcPr>
          <w:p w:rsidR="00EE682F" w:rsidRPr="00EE682F" w:rsidRDefault="00EE682F" w:rsidP="00EE682F">
            <w:pPr>
              <w:rPr>
                <w:sz w:val="20"/>
                <w:szCs w:val="20"/>
              </w:rPr>
            </w:pPr>
          </w:p>
        </w:tc>
      </w:tr>
      <w:tr w:rsidR="00EE682F" w:rsidRPr="00EE682F" w:rsidTr="00247311">
        <w:trPr>
          <w:trHeight w:val="379"/>
        </w:trPr>
        <w:tc>
          <w:tcPr>
            <w:tcW w:w="3535" w:type="dxa"/>
            <w:tcBorders>
              <w:top w:val="nil"/>
              <w:left w:val="nil"/>
              <w:bottom w:val="nil"/>
              <w:right w:val="nil"/>
            </w:tcBorders>
            <w:shd w:val="clear" w:color="auto" w:fill="auto"/>
            <w:noWrap/>
            <w:vAlign w:val="bottom"/>
            <w:hideMark/>
          </w:tcPr>
          <w:p w:rsidR="00EE682F" w:rsidRPr="00EE682F" w:rsidRDefault="00EE682F" w:rsidP="00EE682F">
            <w:pPr>
              <w:rPr>
                <w:rFonts w:ascii="Arial" w:hAnsi="Arial" w:cs="Arial"/>
                <w:b/>
                <w:bCs/>
                <w:color w:val="002060"/>
                <w:sz w:val="20"/>
                <w:szCs w:val="20"/>
              </w:rPr>
            </w:pPr>
            <w:r w:rsidRPr="00EE682F">
              <w:rPr>
                <w:rFonts w:ascii="Arial" w:hAnsi="Arial" w:cs="Arial"/>
                <w:b/>
                <w:bCs/>
                <w:color w:val="002060"/>
                <w:sz w:val="20"/>
                <w:szCs w:val="20"/>
              </w:rPr>
              <w:t>BALANÇ DE SITUACIÓ</w:t>
            </w:r>
          </w:p>
        </w:tc>
        <w:tc>
          <w:tcPr>
            <w:tcW w:w="1422" w:type="dxa"/>
            <w:tcBorders>
              <w:top w:val="nil"/>
              <w:left w:val="nil"/>
              <w:bottom w:val="nil"/>
              <w:right w:val="nil"/>
            </w:tcBorders>
            <w:shd w:val="clear" w:color="auto" w:fill="auto"/>
            <w:noWrap/>
            <w:vAlign w:val="bottom"/>
            <w:hideMark/>
          </w:tcPr>
          <w:p w:rsidR="00EE682F" w:rsidRPr="00EE682F" w:rsidRDefault="00EE682F" w:rsidP="00EE682F">
            <w:pPr>
              <w:rPr>
                <w:rFonts w:ascii="Arial" w:hAnsi="Arial" w:cs="Arial"/>
                <w:b/>
                <w:bCs/>
                <w:color w:val="002060"/>
                <w:sz w:val="20"/>
                <w:szCs w:val="20"/>
              </w:rPr>
            </w:pPr>
          </w:p>
        </w:tc>
        <w:tc>
          <w:tcPr>
            <w:tcW w:w="1253" w:type="dxa"/>
            <w:tcBorders>
              <w:top w:val="nil"/>
              <w:left w:val="nil"/>
              <w:bottom w:val="nil"/>
              <w:right w:val="nil"/>
            </w:tcBorders>
            <w:shd w:val="clear" w:color="auto" w:fill="auto"/>
            <w:noWrap/>
            <w:vAlign w:val="bottom"/>
            <w:hideMark/>
          </w:tcPr>
          <w:p w:rsidR="00EE682F" w:rsidRPr="00EE682F" w:rsidRDefault="00EE682F" w:rsidP="00EE682F">
            <w:pPr>
              <w:rPr>
                <w:sz w:val="20"/>
                <w:szCs w:val="20"/>
              </w:rPr>
            </w:pPr>
          </w:p>
        </w:tc>
        <w:tc>
          <w:tcPr>
            <w:tcW w:w="1422" w:type="dxa"/>
            <w:tcBorders>
              <w:top w:val="nil"/>
              <w:left w:val="nil"/>
              <w:bottom w:val="nil"/>
              <w:right w:val="nil"/>
            </w:tcBorders>
            <w:shd w:val="clear" w:color="auto" w:fill="auto"/>
            <w:noWrap/>
            <w:vAlign w:val="bottom"/>
            <w:hideMark/>
          </w:tcPr>
          <w:p w:rsidR="00EE682F" w:rsidRPr="00EE682F" w:rsidRDefault="00EE682F" w:rsidP="00EE682F">
            <w:pPr>
              <w:rPr>
                <w:sz w:val="20"/>
                <w:szCs w:val="20"/>
              </w:rPr>
            </w:pPr>
          </w:p>
        </w:tc>
        <w:tc>
          <w:tcPr>
            <w:tcW w:w="1253" w:type="dxa"/>
            <w:tcBorders>
              <w:top w:val="nil"/>
              <w:left w:val="nil"/>
              <w:bottom w:val="nil"/>
              <w:right w:val="nil"/>
            </w:tcBorders>
            <w:shd w:val="clear" w:color="auto" w:fill="auto"/>
            <w:noWrap/>
            <w:vAlign w:val="bottom"/>
            <w:hideMark/>
          </w:tcPr>
          <w:p w:rsidR="00EE682F" w:rsidRPr="00EE682F" w:rsidRDefault="00EE682F" w:rsidP="00EE682F">
            <w:pPr>
              <w:rPr>
                <w:sz w:val="20"/>
                <w:szCs w:val="20"/>
              </w:rPr>
            </w:pPr>
          </w:p>
        </w:tc>
        <w:tc>
          <w:tcPr>
            <w:tcW w:w="1424" w:type="dxa"/>
            <w:tcBorders>
              <w:top w:val="nil"/>
              <w:left w:val="nil"/>
              <w:bottom w:val="nil"/>
              <w:right w:val="nil"/>
            </w:tcBorders>
            <w:shd w:val="clear" w:color="auto" w:fill="auto"/>
            <w:noWrap/>
            <w:vAlign w:val="bottom"/>
            <w:hideMark/>
          </w:tcPr>
          <w:p w:rsidR="00EE682F" w:rsidRPr="00EE682F" w:rsidRDefault="00EE682F" w:rsidP="00EE682F">
            <w:pPr>
              <w:rPr>
                <w:sz w:val="20"/>
                <w:szCs w:val="20"/>
              </w:rPr>
            </w:pPr>
          </w:p>
        </w:tc>
        <w:tc>
          <w:tcPr>
            <w:tcW w:w="1000" w:type="dxa"/>
            <w:tcBorders>
              <w:top w:val="nil"/>
              <w:left w:val="nil"/>
              <w:bottom w:val="nil"/>
              <w:right w:val="nil"/>
            </w:tcBorders>
            <w:shd w:val="clear" w:color="auto" w:fill="auto"/>
            <w:noWrap/>
            <w:vAlign w:val="bottom"/>
            <w:hideMark/>
          </w:tcPr>
          <w:p w:rsidR="00EE682F" w:rsidRPr="00EE682F" w:rsidRDefault="00EE682F" w:rsidP="00EE682F">
            <w:pPr>
              <w:rPr>
                <w:sz w:val="20"/>
                <w:szCs w:val="20"/>
              </w:rPr>
            </w:pPr>
          </w:p>
        </w:tc>
        <w:tc>
          <w:tcPr>
            <w:tcW w:w="1123" w:type="dxa"/>
            <w:tcBorders>
              <w:top w:val="nil"/>
              <w:left w:val="nil"/>
              <w:bottom w:val="nil"/>
              <w:right w:val="nil"/>
            </w:tcBorders>
            <w:shd w:val="clear" w:color="auto" w:fill="auto"/>
            <w:noWrap/>
            <w:vAlign w:val="bottom"/>
            <w:hideMark/>
          </w:tcPr>
          <w:p w:rsidR="00EE682F" w:rsidRPr="00EE682F" w:rsidRDefault="00EE682F" w:rsidP="00EE682F">
            <w:pPr>
              <w:rPr>
                <w:sz w:val="20"/>
                <w:szCs w:val="20"/>
              </w:rPr>
            </w:pPr>
          </w:p>
        </w:tc>
        <w:tc>
          <w:tcPr>
            <w:tcW w:w="1000" w:type="dxa"/>
            <w:tcBorders>
              <w:top w:val="nil"/>
              <w:left w:val="nil"/>
              <w:bottom w:val="nil"/>
              <w:right w:val="nil"/>
            </w:tcBorders>
            <w:shd w:val="clear" w:color="auto" w:fill="auto"/>
            <w:noWrap/>
            <w:vAlign w:val="bottom"/>
            <w:hideMark/>
          </w:tcPr>
          <w:p w:rsidR="00EE682F" w:rsidRPr="00EE682F" w:rsidRDefault="00EE682F" w:rsidP="00EE682F">
            <w:pPr>
              <w:rPr>
                <w:sz w:val="20"/>
                <w:szCs w:val="20"/>
              </w:rPr>
            </w:pPr>
          </w:p>
        </w:tc>
        <w:tc>
          <w:tcPr>
            <w:tcW w:w="1123" w:type="dxa"/>
            <w:tcBorders>
              <w:top w:val="nil"/>
              <w:left w:val="nil"/>
              <w:bottom w:val="nil"/>
              <w:right w:val="nil"/>
            </w:tcBorders>
            <w:shd w:val="clear" w:color="auto" w:fill="auto"/>
            <w:noWrap/>
            <w:vAlign w:val="bottom"/>
            <w:hideMark/>
          </w:tcPr>
          <w:p w:rsidR="00EE682F" w:rsidRPr="00EE682F" w:rsidRDefault="00EE682F" w:rsidP="00EE682F">
            <w:pPr>
              <w:rPr>
                <w:sz w:val="20"/>
                <w:szCs w:val="20"/>
              </w:rPr>
            </w:pPr>
          </w:p>
        </w:tc>
      </w:tr>
      <w:tr w:rsidR="00EE682F" w:rsidRPr="00EE682F" w:rsidTr="00247311">
        <w:trPr>
          <w:trHeight w:val="379"/>
        </w:trPr>
        <w:tc>
          <w:tcPr>
            <w:tcW w:w="35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682F" w:rsidRPr="00EE682F" w:rsidRDefault="00EE682F" w:rsidP="00EE682F">
            <w:pPr>
              <w:rPr>
                <w:rFonts w:ascii="Arial" w:hAnsi="Arial" w:cs="Arial"/>
                <w:b/>
                <w:bCs/>
                <w:color w:val="002060"/>
                <w:sz w:val="20"/>
                <w:szCs w:val="20"/>
              </w:rPr>
            </w:pPr>
            <w:r w:rsidRPr="00EE682F">
              <w:rPr>
                <w:rFonts w:ascii="Arial" w:hAnsi="Arial" w:cs="Arial"/>
                <w:b/>
                <w:bCs/>
                <w:color w:val="002060"/>
                <w:sz w:val="20"/>
                <w:szCs w:val="20"/>
              </w:rPr>
              <w:t>ACTIU</w:t>
            </w:r>
          </w:p>
        </w:tc>
        <w:tc>
          <w:tcPr>
            <w:tcW w:w="2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2019</w:t>
            </w:r>
          </w:p>
        </w:tc>
        <w:tc>
          <w:tcPr>
            <w:tcW w:w="2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2018</w:t>
            </w:r>
          </w:p>
        </w:tc>
        <w:tc>
          <w:tcPr>
            <w:tcW w:w="242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2017</w:t>
            </w:r>
          </w:p>
        </w:tc>
        <w:tc>
          <w:tcPr>
            <w:tcW w:w="2123" w:type="dxa"/>
            <w:gridSpan w:val="2"/>
            <w:tcBorders>
              <w:top w:val="single" w:sz="4" w:space="0" w:color="auto"/>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2016</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2015</w:t>
            </w:r>
          </w:p>
        </w:tc>
      </w:tr>
      <w:tr w:rsidR="00EE682F" w:rsidRPr="00EE682F" w:rsidTr="00247311">
        <w:trPr>
          <w:trHeight w:val="379"/>
        </w:trPr>
        <w:tc>
          <w:tcPr>
            <w:tcW w:w="3535" w:type="dxa"/>
            <w:vMerge/>
            <w:tcBorders>
              <w:top w:val="single" w:sz="4" w:space="0" w:color="auto"/>
              <w:left w:val="single" w:sz="4" w:space="0" w:color="auto"/>
              <w:bottom w:val="single" w:sz="4" w:space="0" w:color="000000"/>
              <w:right w:val="single" w:sz="4" w:space="0" w:color="auto"/>
            </w:tcBorders>
            <w:vAlign w:val="center"/>
            <w:hideMark/>
          </w:tcPr>
          <w:p w:rsidR="00EE682F" w:rsidRPr="00EE682F" w:rsidRDefault="00EE682F" w:rsidP="00EE682F">
            <w:pPr>
              <w:rPr>
                <w:rFonts w:ascii="Arial" w:hAnsi="Arial" w:cs="Arial"/>
                <w:b/>
                <w:bCs/>
                <w:color w:val="002060"/>
                <w:sz w:val="20"/>
                <w:szCs w:val="20"/>
              </w:rPr>
            </w:pPr>
          </w:p>
        </w:tc>
        <w:tc>
          <w:tcPr>
            <w:tcW w:w="142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milers d'€</w:t>
            </w:r>
          </w:p>
        </w:tc>
        <w:tc>
          <w:tcPr>
            <w:tcW w:w="125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%(19/18)</w:t>
            </w:r>
          </w:p>
        </w:tc>
        <w:tc>
          <w:tcPr>
            <w:tcW w:w="142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milers d'€</w:t>
            </w:r>
          </w:p>
        </w:tc>
        <w:tc>
          <w:tcPr>
            <w:tcW w:w="125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%(18/17)</w:t>
            </w:r>
          </w:p>
        </w:tc>
        <w:tc>
          <w:tcPr>
            <w:tcW w:w="1424"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milers d'€</w:t>
            </w:r>
          </w:p>
        </w:tc>
        <w:tc>
          <w:tcPr>
            <w:tcW w:w="1000"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%(17/16)</w:t>
            </w:r>
          </w:p>
        </w:tc>
        <w:tc>
          <w:tcPr>
            <w:tcW w:w="112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milers d'€</w:t>
            </w:r>
          </w:p>
        </w:tc>
        <w:tc>
          <w:tcPr>
            <w:tcW w:w="1000"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%(16/15)</w:t>
            </w:r>
          </w:p>
        </w:tc>
        <w:tc>
          <w:tcPr>
            <w:tcW w:w="112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milers d'€</w:t>
            </w:r>
          </w:p>
        </w:tc>
      </w:tr>
      <w:tr w:rsidR="00EE682F" w:rsidRPr="00EE682F" w:rsidTr="00247311">
        <w:trPr>
          <w:trHeight w:val="379"/>
        </w:trPr>
        <w:tc>
          <w:tcPr>
            <w:tcW w:w="3535" w:type="dxa"/>
            <w:tcBorders>
              <w:top w:val="nil"/>
              <w:left w:val="single" w:sz="4" w:space="0" w:color="auto"/>
              <w:bottom w:val="single" w:sz="4" w:space="0" w:color="auto"/>
              <w:right w:val="single" w:sz="4" w:space="0" w:color="auto"/>
            </w:tcBorders>
            <w:shd w:val="clear" w:color="000000" w:fill="E7E6E6"/>
            <w:noWrap/>
            <w:vAlign w:val="bottom"/>
            <w:hideMark/>
          </w:tcPr>
          <w:p w:rsidR="00EE682F" w:rsidRPr="00EE682F" w:rsidRDefault="00EE682F" w:rsidP="00EE682F">
            <w:pPr>
              <w:rPr>
                <w:rFonts w:ascii="Arial" w:hAnsi="Arial" w:cs="Arial"/>
                <w:b/>
                <w:bCs/>
                <w:color w:val="002060"/>
                <w:sz w:val="20"/>
                <w:szCs w:val="20"/>
              </w:rPr>
            </w:pPr>
            <w:r w:rsidRPr="00EE682F">
              <w:rPr>
                <w:rFonts w:ascii="Arial" w:hAnsi="Arial" w:cs="Arial"/>
                <w:b/>
                <w:bCs/>
                <w:color w:val="002060"/>
                <w:sz w:val="20"/>
                <w:szCs w:val="20"/>
              </w:rPr>
              <w:t xml:space="preserve"> A) ACTIU NO CORRENT</w:t>
            </w:r>
          </w:p>
        </w:tc>
        <w:tc>
          <w:tcPr>
            <w:tcW w:w="1422"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185.434</w:t>
            </w:r>
          </w:p>
        </w:tc>
        <w:tc>
          <w:tcPr>
            <w:tcW w:w="125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22,84%</w:t>
            </w:r>
          </w:p>
        </w:tc>
        <w:tc>
          <w:tcPr>
            <w:tcW w:w="1422"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150.955</w:t>
            </w:r>
          </w:p>
        </w:tc>
        <w:tc>
          <w:tcPr>
            <w:tcW w:w="125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20,52%</w:t>
            </w:r>
          </w:p>
        </w:tc>
        <w:tc>
          <w:tcPr>
            <w:tcW w:w="1424"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125.254</w:t>
            </w:r>
          </w:p>
        </w:tc>
        <w:tc>
          <w:tcPr>
            <w:tcW w:w="1000"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19,51%</w:t>
            </w:r>
          </w:p>
        </w:tc>
        <w:tc>
          <w:tcPr>
            <w:tcW w:w="112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104.804</w:t>
            </w:r>
          </w:p>
        </w:tc>
        <w:tc>
          <w:tcPr>
            <w:tcW w:w="1000"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34,46%</w:t>
            </w:r>
          </w:p>
        </w:tc>
        <w:tc>
          <w:tcPr>
            <w:tcW w:w="112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77.946</w:t>
            </w:r>
          </w:p>
        </w:tc>
      </w:tr>
      <w:tr w:rsidR="00EE682F" w:rsidRPr="00EE682F" w:rsidTr="00247311">
        <w:trPr>
          <w:trHeight w:val="379"/>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Immobilitzat intangible</w:t>
            </w:r>
          </w:p>
        </w:tc>
        <w:tc>
          <w:tcPr>
            <w:tcW w:w="142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2.760</w:t>
            </w:r>
          </w:p>
        </w:tc>
        <w:tc>
          <w:tcPr>
            <w:tcW w:w="125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10,49%</w:t>
            </w:r>
          </w:p>
        </w:tc>
        <w:tc>
          <w:tcPr>
            <w:tcW w:w="142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2.498</w:t>
            </w:r>
          </w:p>
        </w:tc>
        <w:tc>
          <w:tcPr>
            <w:tcW w:w="125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4,17%</w:t>
            </w:r>
          </w:p>
        </w:tc>
        <w:tc>
          <w:tcPr>
            <w:tcW w:w="1424"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2.398</w:t>
            </w:r>
          </w:p>
        </w:tc>
        <w:tc>
          <w:tcPr>
            <w:tcW w:w="1000"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2,65%</w:t>
            </w:r>
          </w:p>
        </w:tc>
        <w:tc>
          <w:tcPr>
            <w:tcW w:w="112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2.336</w:t>
            </w:r>
          </w:p>
        </w:tc>
        <w:tc>
          <w:tcPr>
            <w:tcW w:w="1000"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4,05%</w:t>
            </w:r>
          </w:p>
        </w:tc>
        <w:tc>
          <w:tcPr>
            <w:tcW w:w="112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2.245</w:t>
            </w:r>
          </w:p>
        </w:tc>
      </w:tr>
      <w:tr w:rsidR="00EE682F" w:rsidRPr="00EE682F" w:rsidTr="00247311">
        <w:trPr>
          <w:trHeight w:val="379"/>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Immobilitzat material</w:t>
            </w:r>
          </w:p>
        </w:tc>
        <w:tc>
          <w:tcPr>
            <w:tcW w:w="142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165.859</w:t>
            </w:r>
          </w:p>
        </w:tc>
        <w:tc>
          <w:tcPr>
            <w:tcW w:w="125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23,00%</w:t>
            </w:r>
          </w:p>
        </w:tc>
        <w:tc>
          <w:tcPr>
            <w:tcW w:w="142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134.847</w:t>
            </w:r>
          </w:p>
        </w:tc>
        <w:tc>
          <w:tcPr>
            <w:tcW w:w="125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20,48%</w:t>
            </w:r>
          </w:p>
        </w:tc>
        <w:tc>
          <w:tcPr>
            <w:tcW w:w="1424"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111.924</w:t>
            </w:r>
          </w:p>
        </w:tc>
        <w:tc>
          <w:tcPr>
            <w:tcW w:w="1000"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22,22%</w:t>
            </w:r>
          </w:p>
        </w:tc>
        <w:tc>
          <w:tcPr>
            <w:tcW w:w="112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91.574</w:t>
            </w:r>
          </w:p>
        </w:tc>
        <w:tc>
          <w:tcPr>
            <w:tcW w:w="1000"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32,75%</w:t>
            </w:r>
          </w:p>
        </w:tc>
        <w:tc>
          <w:tcPr>
            <w:tcW w:w="112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68.982</w:t>
            </w:r>
          </w:p>
        </w:tc>
      </w:tr>
      <w:tr w:rsidR="00EE682F" w:rsidRPr="00EE682F" w:rsidTr="00247311">
        <w:trPr>
          <w:trHeight w:val="379"/>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Altres actius a llarg termini</w:t>
            </w:r>
          </w:p>
        </w:tc>
        <w:tc>
          <w:tcPr>
            <w:tcW w:w="142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16.815</w:t>
            </w:r>
          </w:p>
        </w:tc>
        <w:tc>
          <w:tcPr>
            <w:tcW w:w="125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23,55%</w:t>
            </w:r>
          </w:p>
        </w:tc>
        <w:tc>
          <w:tcPr>
            <w:tcW w:w="142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13.610</w:t>
            </w:r>
          </w:p>
        </w:tc>
        <w:tc>
          <w:tcPr>
            <w:tcW w:w="125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24,50%</w:t>
            </w:r>
          </w:p>
        </w:tc>
        <w:tc>
          <w:tcPr>
            <w:tcW w:w="1424"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10.932</w:t>
            </w:r>
          </w:p>
        </w:tc>
        <w:tc>
          <w:tcPr>
            <w:tcW w:w="1000"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0,35%</w:t>
            </w:r>
          </w:p>
        </w:tc>
        <w:tc>
          <w:tcPr>
            <w:tcW w:w="112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10.894</w:t>
            </w:r>
          </w:p>
        </w:tc>
        <w:tc>
          <w:tcPr>
            <w:tcW w:w="1000"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62,14%</w:t>
            </w:r>
          </w:p>
        </w:tc>
        <w:tc>
          <w:tcPr>
            <w:tcW w:w="112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6.719</w:t>
            </w:r>
          </w:p>
        </w:tc>
      </w:tr>
      <w:tr w:rsidR="00EE682F" w:rsidRPr="00EE682F" w:rsidTr="00247311">
        <w:trPr>
          <w:trHeight w:val="379"/>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b/>
                <w:bCs/>
                <w:color w:val="002060"/>
                <w:sz w:val="20"/>
                <w:szCs w:val="20"/>
              </w:rPr>
            </w:pPr>
            <w:r w:rsidRPr="00EE682F">
              <w:rPr>
                <w:rFonts w:ascii="Arial" w:hAnsi="Arial" w:cs="Arial"/>
                <w:b/>
                <w:bCs/>
                <w:color w:val="002060"/>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b/>
                <w:bCs/>
                <w:color w:val="002060"/>
                <w:sz w:val="20"/>
                <w:szCs w:val="20"/>
              </w:rPr>
            </w:pPr>
            <w:r w:rsidRPr="00EE682F">
              <w:rPr>
                <w:rFonts w:ascii="Arial" w:hAnsi="Arial" w:cs="Arial"/>
                <w:b/>
                <w:bCs/>
                <w:color w:val="002060"/>
                <w:sz w:val="20"/>
                <w:szCs w:val="20"/>
              </w:rPr>
              <w:t> </w:t>
            </w:r>
          </w:p>
        </w:tc>
        <w:tc>
          <w:tcPr>
            <w:tcW w:w="1424"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b/>
                <w:bCs/>
                <w:color w:val="002060"/>
                <w:sz w:val="20"/>
                <w:szCs w:val="20"/>
              </w:rPr>
            </w:pPr>
            <w:r w:rsidRPr="00EE682F">
              <w:rPr>
                <w:rFonts w:ascii="Arial" w:hAnsi="Arial" w:cs="Arial"/>
                <w:b/>
                <w:bCs/>
                <w:color w:val="002060"/>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b/>
                <w:bCs/>
                <w:color w:val="002060"/>
                <w:sz w:val="20"/>
                <w:szCs w:val="20"/>
              </w:rPr>
            </w:pPr>
            <w:r w:rsidRPr="00EE682F">
              <w:rPr>
                <w:rFonts w:ascii="Arial" w:hAnsi="Arial" w:cs="Arial"/>
                <w:b/>
                <w:bCs/>
                <w:color w:val="002060"/>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r>
      <w:tr w:rsidR="00EE682F" w:rsidRPr="00EE682F" w:rsidTr="00247311">
        <w:trPr>
          <w:trHeight w:val="379"/>
        </w:trPr>
        <w:tc>
          <w:tcPr>
            <w:tcW w:w="3535" w:type="dxa"/>
            <w:tcBorders>
              <w:top w:val="nil"/>
              <w:left w:val="single" w:sz="4" w:space="0" w:color="auto"/>
              <w:bottom w:val="single" w:sz="4" w:space="0" w:color="auto"/>
              <w:right w:val="single" w:sz="4" w:space="0" w:color="auto"/>
            </w:tcBorders>
            <w:shd w:val="clear" w:color="000000" w:fill="E7E6E6"/>
            <w:noWrap/>
            <w:vAlign w:val="bottom"/>
            <w:hideMark/>
          </w:tcPr>
          <w:p w:rsidR="00EE682F" w:rsidRPr="00EE682F" w:rsidRDefault="00EE682F" w:rsidP="00EE682F">
            <w:pPr>
              <w:rPr>
                <w:rFonts w:ascii="Arial" w:hAnsi="Arial" w:cs="Arial"/>
                <w:b/>
                <w:bCs/>
                <w:color w:val="002060"/>
                <w:sz w:val="20"/>
                <w:szCs w:val="20"/>
              </w:rPr>
            </w:pPr>
            <w:r w:rsidRPr="00EE682F">
              <w:rPr>
                <w:rFonts w:ascii="Arial" w:hAnsi="Arial" w:cs="Arial"/>
                <w:b/>
                <w:bCs/>
                <w:color w:val="002060"/>
                <w:sz w:val="20"/>
                <w:szCs w:val="20"/>
              </w:rPr>
              <w:t xml:space="preserve"> B) ACTIU CORRENT</w:t>
            </w:r>
          </w:p>
        </w:tc>
        <w:tc>
          <w:tcPr>
            <w:tcW w:w="1422"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142.775</w:t>
            </w:r>
          </w:p>
        </w:tc>
        <w:tc>
          <w:tcPr>
            <w:tcW w:w="125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21,49%</w:t>
            </w:r>
          </w:p>
        </w:tc>
        <w:tc>
          <w:tcPr>
            <w:tcW w:w="1422"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117.519</w:t>
            </w:r>
          </w:p>
        </w:tc>
        <w:tc>
          <w:tcPr>
            <w:tcW w:w="125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2,74%</w:t>
            </w:r>
          </w:p>
        </w:tc>
        <w:tc>
          <w:tcPr>
            <w:tcW w:w="1424"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114.384</w:t>
            </w:r>
          </w:p>
        </w:tc>
        <w:tc>
          <w:tcPr>
            <w:tcW w:w="1000"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1,06%</w:t>
            </w:r>
          </w:p>
        </w:tc>
        <w:tc>
          <w:tcPr>
            <w:tcW w:w="112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113.183</w:t>
            </w:r>
          </w:p>
        </w:tc>
        <w:tc>
          <w:tcPr>
            <w:tcW w:w="1000"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-0,77%</w:t>
            </w:r>
          </w:p>
        </w:tc>
        <w:tc>
          <w:tcPr>
            <w:tcW w:w="112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114.059</w:t>
            </w:r>
          </w:p>
        </w:tc>
      </w:tr>
      <w:tr w:rsidR="00EE682F" w:rsidRPr="00EE682F" w:rsidTr="00247311">
        <w:trPr>
          <w:trHeight w:val="379"/>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Existències</w:t>
            </w:r>
          </w:p>
        </w:tc>
        <w:tc>
          <w:tcPr>
            <w:tcW w:w="142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54.601</w:t>
            </w:r>
          </w:p>
        </w:tc>
        <w:tc>
          <w:tcPr>
            <w:tcW w:w="125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20,42%</w:t>
            </w:r>
          </w:p>
        </w:tc>
        <w:tc>
          <w:tcPr>
            <w:tcW w:w="142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45.341</w:t>
            </w:r>
          </w:p>
        </w:tc>
        <w:tc>
          <w:tcPr>
            <w:tcW w:w="125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16,91%</w:t>
            </w:r>
          </w:p>
        </w:tc>
        <w:tc>
          <w:tcPr>
            <w:tcW w:w="1424"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38.782</w:t>
            </w:r>
          </w:p>
        </w:tc>
        <w:tc>
          <w:tcPr>
            <w:tcW w:w="1000"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13,46%</w:t>
            </w:r>
          </w:p>
        </w:tc>
        <w:tc>
          <w:tcPr>
            <w:tcW w:w="112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34.182</w:t>
            </w:r>
          </w:p>
        </w:tc>
        <w:tc>
          <w:tcPr>
            <w:tcW w:w="1000"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8,31%</w:t>
            </w:r>
          </w:p>
        </w:tc>
        <w:tc>
          <w:tcPr>
            <w:tcW w:w="112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31.559</w:t>
            </w:r>
          </w:p>
        </w:tc>
      </w:tr>
      <w:tr w:rsidR="00EE682F" w:rsidRPr="00EE682F" w:rsidTr="00247311">
        <w:trPr>
          <w:trHeight w:val="379"/>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Deutors</w:t>
            </w:r>
          </w:p>
        </w:tc>
        <w:tc>
          <w:tcPr>
            <w:tcW w:w="142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63.152</w:t>
            </w:r>
          </w:p>
        </w:tc>
        <w:tc>
          <w:tcPr>
            <w:tcW w:w="125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11,39%</w:t>
            </w:r>
          </w:p>
        </w:tc>
        <w:tc>
          <w:tcPr>
            <w:tcW w:w="142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56.692</w:t>
            </w:r>
          </w:p>
        </w:tc>
        <w:tc>
          <w:tcPr>
            <w:tcW w:w="125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-5,28%</w:t>
            </w:r>
          </w:p>
        </w:tc>
        <w:tc>
          <w:tcPr>
            <w:tcW w:w="1424"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59.853</w:t>
            </w:r>
          </w:p>
        </w:tc>
        <w:tc>
          <w:tcPr>
            <w:tcW w:w="1000"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0,71%</w:t>
            </w:r>
          </w:p>
        </w:tc>
        <w:tc>
          <w:tcPr>
            <w:tcW w:w="112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59.432</w:t>
            </w:r>
          </w:p>
        </w:tc>
        <w:tc>
          <w:tcPr>
            <w:tcW w:w="1000"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13,28%</w:t>
            </w:r>
          </w:p>
        </w:tc>
        <w:tc>
          <w:tcPr>
            <w:tcW w:w="112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52.465</w:t>
            </w:r>
          </w:p>
        </w:tc>
      </w:tr>
      <w:tr w:rsidR="00EE682F" w:rsidRPr="00EE682F" w:rsidTr="00247311">
        <w:trPr>
          <w:trHeight w:val="379"/>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Altres actius líquids</w:t>
            </w:r>
          </w:p>
        </w:tc>
        <w:tc>
          <w:tcPr>
            <w:tcW w:w="142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25.022</w:t>
            </w:r>
          </w:p>
        </w:tc>
        <w:tc>
          <w:tcPr>
            <w:tcW w:w="125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61,58%</w:t>
            </w:r>
          </w:p>
        </w:tc>
        <w:tc>
          <w:tcPr>
            <w:tcW w:w="142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15.486</w:t>
            </w:r>
          </w:p>
        </w:tc>
        <w:tc>
          <w:tcPr>
            <w:tcW w:w="125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-1,67%</w:t>
            </w:r>
          </w:p>
        </w:tc>
        <w:tc>
          <w:tcPr>
            <w:tcW w:w="1424"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15.749</w:t>
            </w:r>
          </w:p>
        </w:tc>
        <w:tc>
          <w:tcPr>
            <w:tcW w:w="1000"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-19,52%</w:t>
            </w:r>
          </w:p>
        </w:tc>
        <w:tc>
          <w:tcPr>
            <w:tcW w:w="112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19.569</w:t>
            </w:r>
          </w:p>
        </w:tc>
        <w:tc>
          <w:tcPr>
            <w:tcW w:w="1000"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-34,85%</w:t>
            </w:r>
          </w:p>
        </w:tc>
        <w:tc>
          <w:tcPr>
            <w:tcW w:w="112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30.035</w:t>
            </w:r>
          </w:p>
        </w:tc>
      </w:tr>
      <w:tr w:rsidR="00EE682F" w:rsidRPr="00EE682F" w:rsidTr="00247311">
        <w:trPr>
          <w:trHeight w:val="379"/>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Tresoreria</w:t>
            </w:r>
          </w:p>
        </w:tc>
        <w:tc>
          <w:tcPr>
            <w:tcW w:w="142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21.474</w:t>
            </w:r>
          </w:p>
        </w:tc>
        <w:tc>
          <w:tcPr>
            <w:tcW w:w="125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74,01%</w:t>
            </w:r>
          </w:p>
        </w:tc>
        <w:tc>
          <w:tcPr>
            <w:tcW w:w="142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12.341</w:t>
            </w:r>
          </w:p>
        </w:tc>
        <w:tc>
          <w:tcPr>
            <w:tcW w:w="125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-2,44%</w:t>
            </w:r>
          </w:p>
        </w:tc>
        <w:tc>
          <w:tcPr>
            <w:tcW w:w="1424"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12.650</w:t>
            </w:r>
          </w:p>
        </w:tc>
        <w:tc>
          <w:tcPr>
            <w:tcW w:w="1000"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1,68%</w:t>
            </w:r>
          </w:p>
        </w:tc>
        <w:tc>
          <w:tcPr>
            <w:tcW w:w="112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12.441</w:t>
            </w:r>
          </w:p>
        </w:tc>
        <w:tc>
          <w:tcPr>
            <w:tcW w:w="1000"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-1,94%</w:t>
            </w:r>
          </w:p>
        </w:tc>
        <w:tc>
          <w:tcPr>
            <w:tcW w:w="112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12.687</w:t>
            </w:r>
          </w:p>
        </w:tc>
      </w:tr>
      <w:tr w:rsidR="00EE682F" w:rsidRPr="00EE682F" w:rsidTr="00247311">
        <w:trPr>
          <w:trHeight w:val="379"/>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b/>
                <w:bCs/>
                <w:color w:val="002060"/>
                <w:sz w:val="20"/>
                <w:szCs w:val="20"/>
              </w:rPr>
            </w:pPr>
            <w:r w:rsidRPr="00EE682F">
              <w:rPr>
                <w:rFonts w:ascii="Arial" w:hAnsi="Arial" w:cs="Arial"/>
                <w:b/>
                <w:bCs/>
                <w:color w:val="002060"/>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b/>
                <w:bCs/>
                <w:color w:val="002060"/>
                <w:sz w:val="20"/>
                <w:szCs w:val="20"/>
              </w:rPr>
            </w:pPr>
            <w:r w:rsidRPr="00EE682F">
              <w:rPr>
                <w:rFonts w:ascii="Arial" w:hAnsi="Arial" w:cs="Arial"/>
                <w:b/>
                <w:bCs/>
                <w:color w:val="002060"/>
                <w:sz w:val="20"/>
                <w:szCs w:val="20"/>
              </w:rPr>
              <w:t> </w:t>
            </w:r>
          </w:p>
        </w:tc>
        <w:tc>
          <w:tcPr>
            <w:tcW w:w="1424"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b/>
                <w:bCs/>
                <w:color w:val="002060"/>
                <w:sz w:val="20"/>
                <w:szCs w:val="20"/>
              </w:rPr>
            </w:pPr>
            <w:r w:rsidRPr="00EE682F">
              <w:rPr>
                <w:rFonts w:ascii="Arial" w:hAnsi="Arial" w:cs="Arial"/>
                <w:b/>
                <w:bCs/>
                <w:color w:val="002060"/>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b/>
                <w:bCs/>
                <w:color w:val="002060"/>
                <w:sz w:val="20"/>
                <w:szCs w:val="20"/>
              </w:rPr>
            </w:pPr>
            <w:r w:rsidRPr="00EE682F">
              <w:rPr>
                <w:rFonts w:ascii="Arial" w:hAnsi="Arial" w:cs="Arial"/>
                <w:b/>
                <w:bCs/>
                <w:color w:val="002060"/>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r>
      <w:tr w:rsidR="00EE682F" w:rsidRPr="00EE682F" w:rsidTr="00247311">
        <w:trPr>
          <w:trHeight w:val="379"/>
        </w:trPr>
        <w:tc>
          <w:tcPr>
            <w:tcW w:w="3535" w:type="dxa"/>
            <w:tcBorders>
              <w:top w:val="nil"/>
              <w:left w:val="single" w:sz="4" w:space="0" w:color="auto"/>
              <w:bottom w:val="single" w:sz="4" w:space="0" w:color="auto"/>
              <w:right w:val="single" w:sz="4" w:space="0" w:color="auto"/>
            </w:tcBorders>
            <w:shd w:val="clear" w:color="000000" w:fill="E7E6E6"/>
            <w:noWrap/>
            <w:vAlign w:val="bottom"/>
            <w:hideMark/>
          </w:tcPr>
          <w:p w:rsidR="00EE682F" w:rsidRPr="00EE682F" w:rsidRDefault="00EE682F" w:rsidP="00EE682F">
            <w:pPr>
              <w:rPr>
                <w:rFonts w:ascii="Arial" w:hAnsi="Arial" w:cs="Arial"/>
                <w:b/>
                <w:bCs/>
                <w:color w:val="002060"/>
                <w:sz w:val="20"/>
                <w:szCs w:val="20"/>
              </w:rPr>
            </w:pPr>
            <w:r w:rsidRPr="00EE682F">
              <w:rPr>
                <w:rFonts w:ascii="Arial" w:hAnsi="Arial" w:cs="Arial"/>
                <w:b/>
                <w:bCs/>
                <w:color w:val="002060"/>
                <w:sz w:val="20"/>
                <w:szCs w:val="20"/>
              </w:rPr>
              <w:t xml:space="preserve">ACTIU TOTAL </w:t>
            </w:r>
          </w:p>
        </w:tc>
        <w:tc>
          <w:tcPr>
            <w:tcW w:w="1422"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328.209</w:t>
            </w:r>
          </w:p>
        </w:tc>
        <w:tc>
          <w:tcPr>
            <w:tcW w:w="125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22,25%</w:t>
            </w:r>
          </w:p>
        </w:tc>
        <w:tc>
          <w:tcPr>
            <w:tcW w:w="1422"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268.474</w:t>
            </w:r>
          </w:p>
        </w:tc>
        <w:tc>
          <w:tcPr>
            <w:tcW w:w="125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12,03%</w:t>
            </w:r>
          </w:p>
        </w:tc>
        <w:tc>
          <w:tcPr>
            <w:tcW w:w="1424"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239.638</w:t>
            </w:r>
          </w:p>
        </w:tc>
        <w:tc>
          <w:tcPr>
            <w:tcW w:w="1000"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9,93%</w:t>
            </w:r>
          </w:p>
        </w:tc>
        <w:tc>
          <w:tcPr>
            <w:tcW w:w="112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217.987</w:t>
            </w:r>
          </w:p>
        </w:tc>
        <w:tc>
          <w:tcPr>
            <w:tcW w:w="1000"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13,53%</w:t>
            </w:r>
          </w:p>
        </w:tc>
        <w:tc>
          <w:tcPr>
            <w:tcW w:w="112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192.005</w:t>
            </w:r>
          </w:p>
        </w:tc>
      </w:tr>
    </w:tbl>
    <w:p w:rsidR="00B93F01" w:rsidRDefault="00B93F01" w:rsidP="002D48FA">
      <w:pPr>
        <w:pStyle w:val="Prrafodelista"/>
        <w:ind w:left="0"/>
        <w:jc w:val="both"/>
        <w:rPr>
          <w:rFonts w:ascii="Arial" w:hAnsi="Arial" w:cs="Arial"/>
          <w:color w:val="000361"/>
          <w:sz w:val="20"/>
          <w:szCs w:val="20"/>
        </w:rPr>
      </w:pPr>
    </w:p>
    <w:p w:rsidR="0064332A" w:rsidRDefault="0064332A" w:rsidP="002D48FA">
      <w:pPr>
        <w:pStyle w:val="Prrafodelista"/>
        <w:ind w:left="0"/>
        <w:jc w:val="both"/>
        <w:rPr>
          <w:rFonts w:ascii="Arial" w:hAnsi="Arial" w:cs="Arial"/>
          <w:color w:val="000361"/>
          <w:sz w:val="20"/>
          <w:szCs w:val="20"/>
        </w:rPr>
      </w:pPr>
      <w:r>
        <w:rPr>
          <w:rFonts w:ascii="Arial" w:hAnsi="Arial" w:cs="Arial"/>
          <w:color w:val="000361"/>
          <w:sz w:val="20"/>
          <w:szCs w:val="20"/>
        </w:rPr>
        <w:br w:type="page"/>
      </w:r>
    </w:p>
    <w:p w:rsidR="0064332A" w:rsidRDefault="0064332A" w:rsidP="002D48FA">
      <w:pPr>
        <w:pStyle w:val="Prrafodelista"/>
        <w:ind w:left="0"/>
        <w:jc w:val="both"/>
        <w:rPr>
          <w:rFonts w:ascii="Arial" w:hAnsi="Arial" w:cs="Arial"/>
          <w:color w:val="000361"/>
          <w:sz w:val="20"/>
          <w:szCs w:val="20"/>
        </w:rPr>
      </w:pPr>
    </w:p>
    <w:tbl>
      <w:tblPr>
        <w:tblW w:w="14595" w:type="dxa"/>
        <w:tblCellMar>
          <w:left w:w="70" w:type="dxa"/>
          <w:right w:w="70" w:type="dxa"/>
        </w:tblCellMar>
        <w:tblLook w:val="04A0" w:firstRow="1" w:lastRow="0" w:firstColumn="1" w:lastColumn="0" w:noHBand="0" w:noVBand="1"/>
      </w:tblPr>
      <w:tblGrid>
        <w:gridCol w:w="4799"/>
        <w:gridCol w:w="1173"/>
        <w:gridCol w:w="1033"/>
        <w:gridCol w:w="1173"/>
        <w:gridCol w:w="1033"/>
        <w:gridCol w:w="1132"/>
        <w:gridCol w:w="997"/>
        <w:gridCol w:w="1132"/>
        <w:gridCol w:w="997"/>
        <w:gridCol w:w="1126"/>
      </w:tblGrid>
      <w:tr w:rsidR="00EE682F" w:rsidRPr="00EE682F" w:rsidTr="00EE682F">
        <w:trPr>
          <w:trHeight w:val="356"/>
        </w:trPr>
        <w:tc>
          <w:tcPr>
            <w:tcW w:w="47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682F" w:rsidRPr="00EE682F" w:rsidRDefault="00EE682F" w:rsidP="00EE682F">
            <w:pPr>
              <w:rPr>
                <w:rFonts w:ascii="Arial" w:hAnsi="Arial" w:cs="Arial"/>
                <w:b/>
                <w:bCs/>
                <w:color w:val="002060"/>
                <w:sz w:val="20"/>
                <w:szCs w:val="20"/>
              </w:rPr>
            </w:pPr>
            <w:r w:rsidRPr="00EE682F">
              <w:rPr>
                <w:rFonts w:ascii="Arial" w:hAnsi="Arial" w:cs="Arial"/>
                <w:b/>
                <w:bCs/>
                <w:color w:val="002060"/>
                <w:sz w:val="20"/>
                <w:szCs w:val="20"/>
              </w:rPr>
              <w:t>PASSIU</w:t>
            </w:r>
          </w:p>
        </w:tc>
        <w:tc>
          <w:tcPr>
            <w:tcW w:w="2206" w:type="dxa"/>
            <w:gridSpan w:val="2"/>
            <w:tcBorders>
              <w:top w:val="single" w:sz="4" w:space="0" w:color="auto"/>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2019</w:t>
            </w:r>
          </w:p>
        </w:tc>
        <w:tc>
          <w:tcPr>
            <w:tcW w:w="2206" w:type="dxa"/>
            <w:gridSpan w:val="2"/>
            <w:tcBorders>
              <w:top w:val="single" w:sz="4" w:space="0" w:color="auto"/>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2018</w:t>
            </w:r>
          </w:p>
        </w:tc>
        <w:tc>
          <w:tcPr>
            <w:tcW w:w="2129" w:type="dxa"/>
            <w:gridSpan w:val="2"/>
            <w:tcBorders>
              <w:top w:val="single" w:sz="4" w:space="0" w:color="auto"/>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2017</w:t>
            </w:r>
          </w:p>
        </w:tc>
        <w:tc>
          <w:tcPr>
            <w:tcW w:w="2129" w:type="dxa"/>
            <w:gridSpan w:val="2"/>
            <w:tcBorders>
              <w:top w:val="single" w:sz="4" w:space="0" w:color="auto"/>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2016</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2015</w:t>
            </w:r>
          </w:p>
        </w:tc>
      </w:tr>
      <w:tr w:rsidR="00EE682F" w:rsidRPr="00EE682F" w:rsidTr="00EE682F">
        <w:trPr>
          <w:trHeight w:val="356"/>
        </w:trPr>
        <w:tc>
          <w:tcPr>
            <w:tcW w:w="4799" w:type="dxa"/>
            <w:vMerge/>
            <w:tcBorders>
              <w:top w:val="single" w:sz="4" w:space="0" w:color="auto"/>
              <w:left w:val="single" w:sz="4" w:space="0" w:color="auto"/>
              <w:bottom w:val="single" w:sz="4" w:space="0" w:color="000000"/>
              <w:right w:val="single" w:sz="4" w:space="0" w:color="auto"/>
            </w:tcBorders>
            <w:vAlign w:val="center"/>
            <w:hideMark/>
          </w:tcPr>
          <w:p w:rsidR="00EE682F" w:rsidRPr="00EE682F" w:rsidRDefault="00EE682F" w:rsidP="00EE682F">
            <w:pPr>
              <w:rPr>
                <w:rFonts w:ascii="Arial" w:hAnsi="Arial" w:cs="Arial"/>
                <w:b/>
                <w:bCs/>
                <w:color w:val="002060"/>
                <w:sz w:val="20"/>
                <w:szCs w:val="20"/>
              </w:rPr>
            </w:pP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milers d'€</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%(19/18)</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milers d'€</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%(18/17)</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milers d'€</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%(17/16)</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milers d'€</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%(16/15)</w:t>
            </w:r>
          </w:p>
        </w:tc>
        <w:tc>
          <w:tcPr>
            <w:tcW w:w="1126"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center"/>
              <w:rPr>
                <w:rFonts w:ascii="Arial" w:hAnsi="Arial" w:cs="Arial"/>
                <w:b/>
                <w:bCs/>
                <w:color w:val="002060"/>
                <w:sz w:val="20"/>
                <w:szCs w:val="20"/>
              </w:rPr>
            </w:pPr>
            <w:r w:rsidRPr="00EE682F">
              <w:rPr>
                <w:rFonts w:ascii="Arial" w:hAnsi="Arial" w:cs="Arial"/>
                <w:b/>
                <w:bCs/>
                <w:color w:val="002060"/>
                <w:sz w:val="20"/>
                <w:szCs w:val="20"/>
              </w:rPr>
              <w:t>milers d'€</w:t>
            </w:r>
          </w:p>
        </w:tc>
      </w:tr>
      <w:tr w:rsidR="00EE682F" w:rsidRPr="00EE682F" w:rsidTr="00EE682F">
        <w:trPr>
          <w:trHeight w:val="356"/>
        </w:trPr>
        <w:tc>
          <w:tcPr>
            <w:tcW w:w="4799" w:type="dxa"/>
            <w:tcBorders>
              <w:top w:val="nil"/>
              <w:left w:val="single" w:sz="4" w:space="0" w:color="auto"/>
              <w:bottom w:val="single" w:sz="4" w:space="0" w:color="auto"/>
              <w:right w:val="single" w:sz="4" w:space="0" w:color="auto"/>
            </w:tcBorders>
            <w:shd w:val="clear" w:color="000000" w:fill="E7E6E6"/>
            <w:noWrap/>
            <w:vAlign w:val="bottom"/>
            <w:hideMark/>
          </w:tcPr>
          <w:p w:rsidR="00EE682F" w:rsidRPr="00EE682F" w:rsidRDefault="00EE682F" w:rsidP="00EE682F">
            <w:pPr>
              <w:rPr>
                <w:rFonts w:ascii="Arial" w:hAnsi="Arial" w:cs="Arial"/>
                <w:b/>
                <w:bCs/>
                <w:color w:val="002060"/>
                <w:sz w:val="20"/>
                <w:szCs w:val="20"/>
              </w:rPr>
            </w:pPr>
            <w:r w:rsidRPr="00EE682F">
              <w:rPr>
                <w:rFonts w:ascii="Arial" w:hAnsi="Arial" w:cs="Arial"/>
                <w:b/>
                <w:bCs/>
                <w:color w:val="002060"/>
                <w:sz w:val="20"/>
                <w:szCs w:val="20"/>
              </w:rPr>
              <w:t xml:space="preserve"> A) PATRIMONI NET</w:t>
            </w:r>
          </w:p>
        </w:tc>
        <w:tc>
          <w:tcPr>
            <w:tcW w:w="117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243.803</w:t>
            </w:r>
          </w:p>
        </w:tc>
        <w:tc>
          <w:tcPr>
            <w:tcW w:w="103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15,77%</w:t>
            </w:r>
          </w:p>
        </w:tc>
        <w:tc>
          <w:tcPr>
            <w:tcW w:w="117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210.588</w:t>
            </w:r>
          </w:p>
        </w:tc>
        <w:tc>
          <w:tcPr>
            <w:tcW w:w="103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13,28%</w:t>
            </w:r>
          </w:p>
        </w:tc>
        <w:tc>
          <w:tcPr>
            <w:tcW w:w="1132"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185.894</w:t>
            </w:r>
          </w:p>
        </w:tc>
        <w:tc>
          <w:tcPr>
            <w:tcW w:w="997"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13,92%</w:t>
            </w:r>
          </w:p>
        </w:tc>
        <w:tc>
          <w:tcPr>
            <w:tcW w:w="1132"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163.177</w:t>
            </w:r>
          </w:p>
        </w:tc>
        <w:tc>
          <w:tcPr>
            <w:tcW w:w="997"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16,62%</w:t>
            </w:r>
          </w:p>
        </w:tc>
        <w:tc>
          <w:tcPr>
            <w:tcW w:w="1126"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139.920</w:t>
            </w:r>
          </w:p>
        </w:tc>
      </w:tr>
      <w:tr w:rsidR="00EE682F" w:rsidRPr="00EE682F" w:rsidTr="00EE682F">
        <w:trPr>
          <w:trHeight w:val="356"/>
        </w:trPr>
        <w:tc>
          <w:tcPr>
            <w:tcW w:w="4799" w:type="dxa"/>
            <w:tcBorders>
              <w:top w:val="nil"/>
              <w:left w:val="single" w:sz="4" w:space="0" w:color="auto"/>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xml:space="preserve"> Fons propis</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243.803</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15,77%</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210.588</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13,28%</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185.894</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13,92%</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163.177</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16,62%</w:t>
            </w:r>
          </w:p>
        </w:tc>
        <w:tc>
          <w:tcPr>
            <w:tcW w:w="1126"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139.920</w:t>
            </w:r>
          </w:p>
        </w:tc>
      </w:tr>
      <w:tr w:rsidR="00EE682F" w:rsidRPr="00EE682F" w:rsidTr="00EE682F">
        <w:trPr>
          <w:trHeight w:val="356"/>
        </w:trPr>
        <w:tc>
          <w:tcPr>
            <w:tcW w:w="4799" w:type="dxa"/>
            <w:tcBorders>
              <w:top w:val="nil"/>
              <w:left w:val="single" w:sz="4" w:space="0" w:color="auto"/>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xml:space="preserve"> Capital subscrit</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30.000</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0,00%</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30.000</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0,00%</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30.000</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0,00%</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30.000</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0,00%</w:t>
            </w:r>
          </w:p>
        </w:tc>
        <w:tc>
          <w:tcPr>
            <w:tcW w:w="1126"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30.000</w:t>
            </w:r>
          </w:p>
        </w:tc>
      </w:tr>
      <w:tr w:rsidR="00EE682F" w:rsidRPr="00EE682F" w:rsidTr="00EE682F">
        <w:trPr>
          <w:trHeight w:val="356"/>
        </w:trPr>
        <w:tc>
          <w:tcPr>
            <w:tcW w:w="4799" w:type="dxa"/>
            <w:tcBorders>
              <w:top w:val="nil"/>
              <w:left w:val="single" w:sz="4" w:space="0" w:color="auto"/>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xml:space="preserve"> Altres fons propis</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213.803</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18,39%</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180.588</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15,84%</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155.894</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17,06%</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133.177</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21,16%</w:t>
            </w:r>
          </w:p>
        </w:tc>
        <w:tc>
          <w:tcPr>
            <w:tcW w:w="1126"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109.920</w:t>
            </w:r>
          </w:p>
        </w:tc>
      </w:tr>
      <w:tr w:rsidR="00EE682F" w:rsidRPr="00EE682F" w:rsidTr="00EE682F">
        <w:trPr>
          <w:trHeight w:val="356"/>
        </w:trPr>
        <w:tc>
          <w:tcPr>
            <w:tcW w:w="4799" w:type="dxa"/>
            <w:tcBorders>
              <w:top w:val="nil"/>
              <w:left w:val="single" w:sz="4" w:space="0" w:color="auto"/>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126"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r>
      <w:tr w:rsidR="00EE682F" w:rsidRPr="00EE682F" w:rsidTr="00EE682F">
        <w:trPr>
          <w:trHeight w:val="356"/>
        </w:trPr>
        <w:tc>
          <w:tcPr>
            <w:tcW w:w="4799" w:type="dxa"/>
            <w:tcBorders>
              <w:top w:val="nil"/>
              <w:left w:val="single" w:sz="4" w:space="0" w:color="auto"/>
              <w:bottom w:val="single" w:sz="4" w:space="0" w:color="auto"/>
              <w:right w:val="single" w:sz="4" w:space="0" w:color="auto"/>
            </w:tcBorders>
            <w:shd w:val="clear" w:color="000000" w:fill="E7E6E6"/>
            <w:noWrap/>
            <w:vAlign w:val="bottom"/>
            <w:hideMark/>
          </w:tcPr>
          <w:p w:rsidR="00EE682F" w:rsidRPr="00EE682F" w:rsidRDefault="00EE682F" w:rsidP="00EE682F">
            <w:pPr>
              <w:rPr>
                <w:rFonts w:ascii="Arial" w:hAnsi="Arial" w:cs="Arial"/>
                <w:b/>
                <w:bCs/>
                <w:color w:val="002060"/>
                <w:sz w:val="20"/>
                <w:szCs w:val="20"/>
              </w:rPr>
            </w:pPr>
            <w:r w:rsidRPr="00EE682F">
              <w:rPr>
                <w:rFonts w:ascii="Arial" w:hAnsi="Arial" w:cs="Arial"/>
                <w:b/>
                <w:bCs/>
                <w:color w:val="002060"/>
                <w:sz w:val="20"/>
                <w:szCs w:val="20"/>
              </w:rPr>
              <w:t xml:space="preserve"> B) PASSIU NO CORRENT</w:t>
            </w:r>
          </w:p>
        </w:tc>
        <w:tc>
          <w:tcPr>
            <w:tcW w:w="117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26.853</w:t>
            </w:r>
          </w:p>
        </w:tc>
        <w:tc>
          <w:tcPr>
            <w:tcW w:w="103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109,95%</w:t>
            </w:r>
          </w:p>
        </w:tc>
        <w:tc>
          <w:tcPr>
            <w:tcW w:w="117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12.790</w:t>
            </w:r>
          </w:p>
        </w:tc>
        <w:tc>
          <w:tcPr>
            <w:tcW w:w="103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92,74%</w:t>
            </w:r>
          </w:p>
        </w:tc>
        <w:tc>
          <w:tcPr>
            <w:tcW w:w="1132"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6.636</w:t>
            </w:r>
          </w:p>
        </w:tc>
        <w:tc>
          <w:tcPr>
            <w:tcW w:w="997"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-9,69%</w:t>
            </w:r>
          </w:p>
        </w:tc>
        <w:tc>
          <w:tcPr>
            <w:tcW w:w="1132"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7.348</w:t>
            </w:r>
          </w:p>
        </w:tc>
        <w:tc>
          <w:tcPr>
            <w:tcW w:w="997"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-0,19%</w:t>
            </w:r>
          </w:p>
        </w:tc>
        <w:tc>
          <w:tcPr>
            <w:tcW w:w="1126"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7.362</w:t>
            </w:r>
          </w:p>
        </w:tc>
      </w:tr>
      <w:tr w:rsidR="00EE682F" w:rsidRPr="00EE682F" w:rsidTr="00EE682F">
        <w:trPr>
          <w:trHeight w:val="356"/>
        </w:trPr>
        <w:tc>
          <w:tcPr>
            <w:tcW w:w="4799" w:type="dxa"/>
            <w:tcBorders>
              <w:top w:val="nil"/>
              <w:left w:val="single" w:sz="4" w:space="0" w:color="auto"/>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Creditors a ll/t</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24.790</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124,45%</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11.045</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132,38%</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4.753</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-12,39%</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5.425</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7,60%</w:t>
            </w:r>
          </w:p>
        </w:tc>
        <w:tc>
          <w:tcPr>
            <w:tcW w:w="1126"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5.042</w:t>
            </w:r>
          </w:p>
        </w:tc>
      </w:tr>
      <w:tr w:rsidR="00EE682F" w:rsidRPr="00EE682F" w:rsidTr="00EE682F">
        <w:trPr>
          <w:trHeight w:val="356"/>
        </w:trPr>
        <w:tc>
          <w:tcPr>
            <w:tcW w:w="4799" w:type="dxa"/>
            <w:tcBorders>
              <w:top w:val="nil"/>
              <w:left w:val="single" w:sz="4" w:space="0" w:color="auto"/>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Altres passius fixos</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2.063</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18,22%</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1.745</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-7,33%</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1.883</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-2,08%</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1.923</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-17,11%</w:t>
            </w:r>
          </w:p>
        </w:tc>
        <w:tc>
          <w:tcPr>
            <w:tcW w:w="1126"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2.320</w:t>
            </w:r>
          </w:p>
        </w:tc>
      </w:tr>
      <w:tr w:rsidR="00EE682F" w:rsidRPr="00EE682F" w:rsidTr="00EE682F">
        <w:trPr>
          <w:trHeight w:val="356"/>
        </w:trPr>
        <w:tc>
          <w:tcPr>
            <w:tcW w:w="4799" w:type="dxa"/>
            <w:tcBorders>
              <w:top w:val="nil"/>
              <w:left w:val="single" w:sz="4" w:space="0" w:color="auto"/>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Provisions</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953</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0,21%</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951</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56,67%</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607</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118,35%</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278</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57,95%</w:t>
            </w:r>
          </w:p>
        </w:tc>
        <w:tc>
          <w:tcPr>
            <w:tcW w:w="1126"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176</w:t>
            </w:r>
          </w:p>
        </w:tc>
      </w:tr>
      <w:tr w:rsidR="00EE682F" w:rsidRPr="00EE682F" w:rsidTr="00EE682F">
        <w:trPr>
          <w:trHeight w:val="356"/>
        </w:trPr>
        <w:tc>
          <w:tcPr>
            <w:tcW w:w="4799" w:type="dxa"/>
            <w:tcBorders>
              <w:top w:val="nil"/>
              <w:left w:val="single" w:sz="4" w:space="0" w:color="auto"/>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126"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r>
      <w:tr w:rsidR="00EE682F" w:rsidRPr="00EE682F" w:rsidTr="00EE682F">
        <w:trPr>
          <w:trHeight w:val="356"/>
        </w:trPr>
        <w:tc>
          <w:tcPr>
            <w:tcW w:w="4799" w:type="dxa"/>
            <w:tcBorders>
              <w:top w:val="nil"/>
              <w:left w:val="single" w:sz="4" w:space="0" w:color="auto"/>
              <w:bottom w:val="single" w:sz="4" w:space="0" w:color="auto"/>
              <w:right w:val="single" w:sz="4" w:space="0" w:color="auto"/>
            </w:tcBorders>
            <w:shd w:val="clear" w:color="000000" w:fill="E7E6E6"/>
            <w:noWrap/>
            <w:vAlign w:val="bottom"/>
            <w:hideMark/>
          </w:tcPr>
          <w:p w:rsidR="00EE682F" w:rsidRPr="00EE682F" w:rsidRDefault="00EE682F" w:rsidP="00EE682F">
            <w:pPr>
              <w:rPr>
                <w:rFonts w:ascii="Arial" w:hAnsi="Arial" w:cs="Arial"/>
                <w:b/>
                <w:bCs/>
                <w:color w:val="002060"/>
                <w:sz w:val="20"/>
                <w:szCs w:val="20"/>
              </w:rPr>
            </w:pPr>
            <w:r w:rsidRPr="00EE682F">
              <w:rPr>
                <w:rFonts w:ascii="Arial" w:hAnsi="Arial" w:cs="Arial"/>
                <w:b/>
                <w:bCs/>
                <w:color w:val="002060"/>
                <w:sz w:val="20"/>
                <w:szCs w:val="20"/>
              </w:rPr>
              <w:t xml:space="preserve"> C) PASSIU CORRENT</w:t>
            </w:r>
          </w:p>
        </w:tc>
        <w:tc>
          <w:tcPr>
            <w:tcW w:w="117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57.553</w:t>
            </w:r>
          </w:p>
        </w:tc>
        <w:tc>
          <w:tcPr>
            <w:tcW w:w="103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27,62%</w:t>
            </w:r>
          </w:p>
        </w:tc>
        <w:tc>
          <w:tcPr>
            <w:tcW w:w="117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45.096</w:t>
            </w:r>
          </w:p>
        </w:tc>
        <w:tc>
          <w:tcPr>
            <w:tcW w:w="103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-4,27%</w:t>
            </w:r>
          </w:p>
        </w:tc>
        <w:tc>
          <w:tcPr>
            <w:tcW w:w="1132"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47.108</w:t>
            </w:r>
          </w:p>
        </w:tc>
        <w:tc>
          <w:tcPr>
            <w:tcW w:w="997"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-0,75%</w:t>
            </w:r>
          </w:p>
        </w:tc>
        <w:tc>
          <w:tcPr>
            <w:tcW w:w="1132"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47.462</w:t>
            </w:r>
          </w:p>
        </w:tc>
        <w:tc>
          <w:tcPr>
            <w:tcW w:w="997"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6,12%</w:t>
            </w:r>
          </w:p>
        </w:tc>
        <w:tc>
          <w:tcPr>
            <w:tcW w:w="1126"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44.723</w:t>
            </w:r>
          </w:p>
        </w:tc>
      </w:tr>
      <w:tr w:rsidR="00EE682F" w:rsidRPr="00EE682F" w:rsidTr="00EE682F">
        <w:trPr>
          <w:trHeight w:val="356"/>
        </w:trPr>
        <w:tc>
          <w:tcPr>
            <w:tcW w:w="4799" w:type="dxa"/>
            <w:tcBorders>
              <w:top w:val="nil"/>
              <w:left w:val="single" w:sz="4" w:space="0" w:color="auto"/>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Deutes amb entitats financeres a c/t</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3.227</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57,41%</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2.050</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-8,20%</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2.233</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181,23%</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794</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31,67%</w:t>
            </w:r>
          </w:p>
        </w:tc>
        <w:tc>
          <w:tcPr>
            <w:tcW w:w="1126"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603</w:t>
            </w:r>
          </w:p>
        </w:tc>
      </w:tr>
      <w:tr w:rsidR="00EE682F" w:rsidRPr="00EE682F" w:rsidTr="00EE682F">
        <w:trPr>
          <w:trHeight w:val="356"/>
        </w:trPr>
        <w:tc>
          <w:tcPr>
            <w:tcW w:w="4799" w:type="dxa"/>
            <w:tcBorders>
              <w:top w:val="nil"/>
              <w:left w:val="single" w:sz="4" w:space="0" w:color="auto"/>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Creditors comercials</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18.428</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-0,86%</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18.587</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7,10%</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17.355</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-1,59%</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17.636</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9,63%</w:t>
            </w:r>
          </w:p>
        </w:tc>
        <w:tc>
          <w:tcPr>
            <w:tcW w:w="1126"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16.087</w:t>
            </w:r>
          </w:p>
        </w:tc>
      </w:tr>
      <w:tr w:rsidR="00EE682F" w:rsidRPr="00EE682F" w:rsidTr="00EE682F">
        <w:trPr>
          <w:trHeight w:val="356"/>
        </w:trPr>
        <w:tc>
          <w:tcPr>
            <w:tcW w:w="4799" w:type="dxa"/>
            <w:tcBorders>
              <w:top w:val="nil"/>
              <w:left w:val="single" w:sz="4" w:space="0" w:color="auto"/>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Altres passius líquids</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35.898</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46,77%</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24.459</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-11,12%</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27.520</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-5,21%</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29.032</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3,56%</w:t>
            </w:r>
          </w:p>
        </w:tc>
        <w:tc>
          <w:tcPr>
            <w:tcW w:w="1126"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jc w:val="right"/>
              <w:rPr>
                <w:rFonts w:ascii="Arial" w:hAnsi="Arial" w:cs="Arial"/>
                <w:color w:val="002060"/>
                <w:sz w:val="20"/>
                <w:szCs w:val="20"/>
              </w:rPr>
            </w:pPr>
            <w:r w:rsidRPr="00EE682F">
              <w:rPr>
                <w:rFonts w:ascii="Arial" w:hAnsi="Arial" w:cs="Arial"/>
                <w:color w:val="002060"/>
                <w:sz w:val="20"/>
                <w:szCs w:val="20"/>
              </w:rPr>
              <w:t>28.033</w:t>
            </w:r>
          </w:p>
        </w:tc>
      </w:tr>
      <w:tr w:rsidR="00EE682F" w:rsidRPr="00EE682F" w:rsidTr="00EE682F">
        <w:trPr>
          <w:trHeight w:val="356"/>
        </w:trPr>
        <w:tc>
          <w:tcPr>
            <w:tcW w:w="4799" w:type="dxa"/>
            <w:tcBorders>
              <w:top w:val="nil"/>
              <w:left w:val="single" w:sz="4" w:space="0" w:color="auto"/>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17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c>
          <w:tcPr>
            <w:tcW w:w="1126" w:type="dxa"/>
            <w:tcBorders>
              <w:top w:val="nil"/>
              <w:left w:val="nil"/>
              <w:bottom w:val="single" w:sz="4" w:space="0" w:color="auto"/>
              <w:right w:val="single" w:sz="4" w:space="0" w:color="auto"/>
            </w:tcBorders>
            <w:shd w:val="clear" w:color="auto" w:fill="auto"/>
            <w:noWrap/>
            <w:vAlign w:val="bottom"/>
            <w:hideMark/>
          </w:tcPr>
          <w:p w:rsidR="00EE682F" w:rsidRPr="00EE682F" w:rsidRDefault="00EE682F" w:rsidP="00EE682F">
            <w:pPr>
              <w:rPr>
                <w:rFonts w:ascii="Arial" w:hAnsi="Arial" w:cs="Arial"/>
                <w:color w:val="002060"/>
                <w:sz w:val="20"/>
                <w:szCs w:val="20"/>
              </w:rPr>
            </w:pPr>
            <w:r w:rsidRPr="00EE682F">
              <w:rPr>
                <w:rFonts w:ascii="Arial" w:hAnsi="Arial" w:cs="Arial"/>
                <w:color w:val="002060"/>
                <w:sz w:val="20"/>
                <w:szCs w:val="20"/>
              </w:rPr>
              <w:t> </w:t>
            </w:r>
          </w:p>
        </w:tc>
      </w:tr>
      <w:tr w:rsidR="00EE682F" w:rsidRPr="00EE682F" w:rsidTr="00EE682F">
        <w:trPr>
          <w:trHeight w:val="356"/>
        </w:trPr>
        <w:tc>
          <w:tcPr>
            <w:tcW w:w="4799" w:type="dxa"/>
            <w:tcBorders>
              <w:top w:val="nil"/>
              <w:left w:val="single" w:sz="4" w:space="0" w:color="auto"/>
              <w:bottom w:val="single" w:sz="4" w:space="0" w:color="auto"/>
              <w:right w:val="single" w:sz="4" w:space="0" w:color="auto"/>
            </w:tcBorders>
            <w:shd w:val="clear" w:color="000000" w:fill="E7E6E6"/>
            <w:noWrap/>
            <w:vAlign w:val="bottom"/>
            <w:hideMark/>
          </w:tcPr>
          <w:p w:rsidR="00EE682F" w:rsidRPr="00EE682F" w:rsidRDefault="00EE682F" w:rsidP="00EE682F">
            <w:pPr>
              <w:rPr>
                <w:rFonts w:ascii="Arial" w:hAnsi="Arial" w:cs="Arial"/>
                <w:b/>
                <w:bCs/>
                <w:color w:val="002060"/>
                <w:sz w:val="20"/>
                <w:szCs w:val="20"/>
              </w:rPr>
            </w:pPr>
            <w:r w:rsidRPr="00EE682F">
              <w:rPr>
                <w:rFonts w:ascii="Arial" w:hAnsi="Arial" w:cs="Arial"/>
                <w:b/>
                <w:bCs/>
                <w:color w:val="002060"/>
                <w:sz w:val="20"/>
                <w:szCs w:val="20"/>
              </w:rPr>
              <w:t>TOTAL PATRIMONI NET + PASSIU</w:t>
            </w:r>
          </w:p>
        </w:tc>
        <w:tc>
          <w:tcPr>
            <w:tcW w:w="117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328.209</w:t>
            </w:r>
          </w:p>
        </w:tc>
        <w:tc>
          <w:tcPr>
            <w:tcW w:w="103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22,25%</w:t>
            </w:r>
          </w:p>
        </w:tc>
        <w:tc>
          <w:tcPr>
            <w:tcW w:w="117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268.474</w:t>
            </w:r>
          </w:p>
        </w:tc>
        <w:tc>
          <w:tcPr>
            <w:tcW w:w="1033"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12,03%</w:t>
            </w:r>
          </w:p>
        </w:tc>
        <w:tc>
          <w:tcPr>
            <w:tcW w:w="1132"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239.638</w:t>
            </w:r>
          </w:p>
        </w:tc>
        <w:tc>
          <w:tcPr>
            <w:tcW w:w="997"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9,93%</w:t>
            </w:r>
          </w:p>
        </w:tc>
        <w:tc>
          <w:tcPr>
            <w:tcW w:w="1132"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217.987</w:t>
            </w:r>
          </w:p>
        </w:tc>
        <w:tc>
          <w:tcPr>
            <w:tcW w:w="997"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13,53%</w:t>
            </w:r>
          </w:p>
        </w:tc>
        <w:tc>
          <w:tcPr>
            <w:tcW w:w="1126" w:type="dxa"/>
            <w:tcBorders>
              <w:top w:val="nil"/>
              <w:left w:val="nil"/>
              <w:bottom w:val="single" w:sz="4" w:space="0" w:color="auto"/>
              <w:right w:val="single" w:sz="4" w:space="0" w:color="auto"/>
            </w:tcBorders>
            <w:shd w:val="clear" w:color="000000" w:fill="E7E6E6"/>
            <w:noWrap/>
            <w:vAlign w:val="bottom"/>
            <w:hideMark/>
          </w:tcPr>
          <w:p w:rsidR="00EE682F" w:rsidRPr="00EE682F" w:rsidRDefault="00EE682F" w:rsidP="00EE682F">
            <w:pPr>
              <w:jc w:val="right"/>
              <w:rPr>
                <w:rFonts w:ascii="Arial" w:hAnsi="Arial" w:cs="Arial"/>
                <w:b/>
                <w:bCs/>
                <w:color w:val="002060"/>
                <w:sz w:val="20"/>
                <w:szCs w:val="20"/>
              </w:rPr>
            </w:pPr>
            <w:r w:rsidRPr="00EE682F">
              <w:rPr>
                <w:rFonts w:ascii="Arial" w:hAnsi="Arial" w:cs="Arial"/>
                <w:b/>
                <w:bCs/>
                <w:color w:val="002060"/>
                <w:sz w:val="20"/>
                <w:szCs w:val="20"/>
              </w:rPr>
              <w:t>192.005</w:t>
            </w:r>
          </w:p>
        </w:tc>
      </w:tr>
    </w:tbl>
    <w:p w:rsidR="0064332A" w:rsidRDefault="0064332A" w:rsidP="002D48FA">
      <w:pPr>
        <w:pStyle w:val="Prrafodelista"/>
        <w:ind w:left="0"/>
        <w:jc w:val="both"/>
        <w:rPr>
          <w:rFonts w:ascii="Arial" w:hAnsi="Arial" w:cs="Arial"/>
          <w:color w:val="000361"/>
          <w:sz w:val="20"/>
          <w:szCs w:val="20"/>
        </w:rPr>
      </w:pPr>
    </w:p>
    <w:p w:rsidR="0064332A" w:rsidRPr="00AE1EC6" w:rsidRDefault="00B665AE" w:rsidP="002D48FA">
      <w:pPr>
        <w:pStyle w:val="Prrafodelista"/>
        <w:ind w:left="0"/>
        <w:jc w:val="both"/>
        <w:rPr>
          <w:rFonts w:ascii="Arial" w:hAnsi="Arial" w:cs="Arial"/>
          <w:color w:val="000361"/>
          <w:sz w:val="14"/>
          <w:szCs w:val="14"/>
        </w:rPr>
      </w:pPr>
      <w:r w:rsidRPr="00AE1EC6">
        <w:rPr>
          <w:rFonts w:ascii="Arial" w:hAnsi="Arial" w:cs="Arial"/>
          <w:color w:val="002060"/>
          <w:sz w:val="14"/>
          <w:szCs w:val="14"/>
        </w:rPr>
        <w:t>Font: Elaboració pròpia a partir dels balanços consolidats de Laboratoris Hipra</w:t>
      </w:r>
    </w:p>
    <w:p w:rsidR="002A0E45" w:rsidRDefault="002A0E45" w:rsidP="002D48FA">
      <w:pPr>
        <w:pStyle w:val="Prrafodelista"/>
        <w:ind w:left="0"/>
        <w:jc w:val="both"/>
        <w:rPr>
          <w:rFonts w:ascii="Arial" w:hAnsi="Arial" w:cs="Arial"/>
          <w:color w:val="000361"/>
          <w:sz w:val="20"/>
          <w:szCs w:val="20"/>
        </w:rPr>
      </w:pPr>
      <w:r>
        <w:rPr>
          <w:rFonts w:ascii="Arial" w:hAnsi="Arial" w:cs="Arial"/>
          <w:color w:val="000361"/>
          <w:sz w:val="20"/>
          <w:szCs w:val="20"/>
        </w:rPr>
        <w:br w:type="page"/>
      </w:r>
    </w:p>
    <w:p w:rsidR="00C82625" w:rsidRDefault="00C82625" w:rsidP="002D48FA">
      <w:pPr>
        <w:pStyle w:val="Prrafodelista"/>
        <w:ind w:left="0"/>
        <w:jc w:val="both"/>
        <w:rPr>
          <w:rFonts w:ascii="Arial" w:hAnsi="Arial" w:cs="Arial"/>
          <w:color w:val="000361"/>
          <w:sz w:val="20"/>
          <w:szCs w:val="20"/>
        </w:rPr>
        <w:sectPr w:rsidR="00C82625" w:rsidSect="00246CE6">
          <w:pgSz w:w="16817" w:h="11901" w:orient="landscape"/>
          <w:pgMar w:top="1440" w:right="1440" w:bottom="1440" w:left="1440" w:header="709" w:footer="709" w:gutter="0"/>
          <w:cols w:space="708"/>
          <w:docGrid w:linePitch="360"/>
        </w:sectPr>
      </w:pPr>
    </w:p>
    <w:p w:rsidR="00E36026" w:rsidRDefault="005C2987" w:rsidP="002D48FA">
      <w:pPr>
        <w:pStyle w:val="Prrafodelista"/>
        <w:ind w:left="0"/>
        <w:jc w:val="both"/>
        <w:rPr>
          <w:rFonts w:ascii="Arial" w:hAnsi="Arial" w:cs="Arial"/>
          <w:color w:val="000361"/>
          <w:sz w:val="20"/>
          <w:szCs w:val="20"/>
        </w:rPr>
      </w:pPr>
      <w:r>
        <w:rPr>
          <w:rFonts w:ascii="Arial" w:hAnsi="Arial" w:cs="Arial"/>
          <w:color w:val="000361"/>
          <w:sz w:val="20"/>
          <w:szCs w:val="20"/>
        </w:rPr>
        <w:lastRenderedPageBreak/>
        <w:t>El balanç de situació indica l’evolució a l’alça exercici rere exercici en el període comprès entre el 2015 i 2019. Partint d’uns actius totals de 192.005 milers d’€ el 2015, el 2019 assoleix uns actius per valor de 328.209 milers d’€. Això representa un creixement del 71%.</w:t>
      </w:r>
    </w:p>
    <w:p w:rsidR="00E36026" w:rsidRDefault="00E36026" w:rsidP="002D48FA">
      <w:pPr>
        <w:pStyle w:val="Prrafodelista"/>
        <w:ind w:left="0"/>
        <w:jc w:val="both"/>
        <w:rPr>
          <w:rFonts w:ascii="Arial" w:hAnsi="Arial" w:cs="Arial"/>
          <w:color w:val="000361"/>
          <w:sz w:val="20"/>
          <w:szCs w:val="20"/>
        </w:rPr>
      </w:pPr>
    </w:p>
    <w:p w:rsidR="005C2987" w:rsidRDefault="005C2987" w:rsidP="002D48FA">
      <w:pPr>
        <w:pStyle w:val="Prrafodelista"/>
        <w:ind w:left="0"/>
        <w:jc w:val="both"/>
        <w:rPr>
          <w:rFonts w:ascii="Arial" w:hAnsi="Arial" w:cs="Arial"/>
          <w:color w:val="000361"/>
          <w:sz w:val="20"/>
          <w:szCs w:val="20"/>
        </w:rPr>
      </w:pPr>
      <w:r>
        <w:rPr>
          <w:rFonts w:ascii="Arial" w:hAnsi="Arial" w:cs="Arial"/>
          <w:color w:val="000361"/>
          <w:sz w:val="20"/>
          <w:szCs w:val="20"/>
        </w:rPr>
        <w:t xml:space="preserve"> Analitzant el comportament de l’estructura econòmica s’observa l’any 2015 un 59% de l’actiu circulant (relacionada amb l’activitat més comercial) per un 41% d’actiu</w:t>
      </w:r>
      <w:r w:rsidR="006053E1">
        <w:rPr>
          <w:rFonts w:ascii="Arial" w:hAnsi="Arial" w:cs="Arial"/>
          <w:color w:val="000361"/>
          <w:sz w:val="20"/>
          <w:szCs w:val="20"/>
        </w:rPr>
        <w:t>s</w:t>
      </w:r>
      <w:r>
        <w:rPr>
          <w:rFonts w:ascii="Arial" w:hAnsi="Arial" w:cs="Arial"/>
          <w:color w:val="000361"/>
          <w:sz w:val="20"/>
          <w:szCs w:val="20"/>
        </w:rPr>
        <w:t xml:space="preserve"> </w:t>
      </w:r>
      <w:r w:rsidR="006053E1">
        <w:rPr>
          <w:rFonts w:ascii="Arial" w:hAnsi="Arial" w:cs="Arial"/>
          <w:color w:val="000361"/>
          <w:sz w:val="20"/>
          <w:szCs w:val="20"/>
        </w:rPr>
        <w:t>fixos</w:t>
      </w:r>
      <w:r>
        <w:rPr>
          <w:rFonts w:ascii="Arial" w:hAnsi="Arial" w:cs="Arial"/>
          <w:color w:val="000361"/>
          <w:sz w:val="20"/>
          <w:szCs w:val="20"/>
        </w:rPr>
        <w:t xml:space="preserve"> associat</w:t>
      </w:r>
      <w:r w:rsidR="006053E1">
        <w:rPr>
          <w:rFonts w:ascii="Arial" w:hAnsi="Arial" w:cs="Arial"/>
          <w:color w:val="000361"/>
          <w:sz w:val="20"/>
          <w:szCs w:val="20"/>
        </w:rPr>
        <w:t>s</w:t>
      </w:r>
      <w:r>
        <w:rPr>
          <w:rFonts w:ascii="Arial" w:hAnsi="Arial" w:cs="Arial"/>
          <w:color w:val="000361"/>
          <w:sz w:val="20"/>
          <w:szCs w:val="20"/>
        </w:rPr>
        <w:t xml:space="preserve"> a la capacitat productiva. El 2016, 2017 i 2018 hi ha un augment de l’actiu no corrent </w:t>
      </w:r>
      <w:r w:rsidR="006053E1">
        <w:rPr>
          <w:rFonts w:ascii="Arial" w:hAnsi="Arial" w:cs="Arial"/>
          <w:color w:val="000361"/>
          <w:sz w:val="20"/>
          <w:szCs w:val="20"/>
        </w:rPr>
        <w:t>relacionat</w:t>
      </w:r>
      <w:r>
        <w:rPr>
          <w:rFonts w:ascii="Arial" w:hAnsi="Arial" w:cs="Arial"/>
          <w:color w:val="000361"/>
          <w:sz w:val="20"/>
          <w:szCs w:val="20"/>
        </w:rPr>
        <w:t xml:space="preserve"> a</w:t>
      </w:r>
      <w:r w:rsidR="006053E1">
        <w:rPr>
          <w:rFonts w:ascii="Arial" w:hAnsi="Arial" w:cs="Arial"/>
          <w:color w:val="000361"/>
          <w:sz w:val="20"/>
          <w:szCs w:val="20"/>
        </w:rPr>
        <w:t>mb e</w:t>
      </w:r>
      <w:r>
        <w:rPr>
          <w:rFonts w:ascii="Arial" w:hAnsi="Arial" w:cs="Arial"/>
          <w:color w:val="000361"/>
          <w:sz w:val="20"/>
          <w:szCs w:val="20"/>
        </w:rPr>
        <w:t>l creixement de l’empresa, no obstant l’import de l’actiu corrent es manté pràcticament invariable,</w:t>
      </w:r>
      <w:r w:rsidR="006053E1">
        <w:rPr>
          <w:rFonts w:ascii="Arial" w:hAnsi="Arial" w:cs="Arial"/>
          <w:color w:val="000361"/>
          <w:sz w:val="20"/>
          <w:szCs w:val="20"/>
        </w:rPr>
        <w:t xml:space="preserve"> s’observa que</w:t>
      </w:r>
      <w:r>
        <w:rPr>
          <w:rFonts w:ascii="Arial" w:hAnsi="Arial" w:cs="Arial"/>
          <w:color w:val="000361"/>
          <w:sz w:val="20"/>
          <w:szCs w:val="20"/>
        </w:rPr>
        <w:t xml:space="preserve"> en cap d’aquests 3 exercicis assoleix augments per damunt del 3%. El 2019 atenent</w:t>
      </w:r>
      <w:r w:rsidR="006053E1">
        <w:rPr>
          <w:rFonts w:ascii="Arial" w:hAnsi="Arial" w:cs="Arial"/>
          <w:color w:val="000361"/>
          <w:sz w:val="20"/>
          <w:szCs w:val="20"/>
        </w:rPr>
        <w:t xml:space="preserve"> a un increment de l’activitat comercial i</w:t>
      </w:r>
      <w:r>
        <w:rPr>
          <w:rFonts w:ascii="Arial" w:hAnsi="Arial" w:cs="Arial"/>
          <w:color w:val="000361"/>
          <w:sz w:val="20"/>
          <w:szCs w:val="20"/>
        </w:rPr>
        <w:t xml:space="preserve"> a possibles necessitats d</w:t>
      </w:r>
      <w:r w:rsidR="00C82625">
        <w:rPr>
          <w:rFonts w:ascii="Arial" w:hAnsi="Arial" w:cs="Arial"/>
          <w:color w:val="000361"/>
          <w:sz w:val="20"/>
          <w:szCs w:val="20"/>
        </w:rPr>
        <w:t xml:space="preserve">’afrontar les obligacions </w:t>
      </w:r>
      <w:r>
        <w:rPr>
          <w:rFonts w:ascii="Arial" w:hAnsi="Arial" w:cs="Arial"/>
          <w:color w:val="000361"/>
          <w:sz w:val="20"/>
          <w:szCs w:val="20"/>
        </w:rPr>
        <w:t xml:space="preserve">en moments determinats durant el cicle anual d’explotació </w:t>
      </w:r>
      <w:r w:rsidR="002138BD">
        <w:rPr>
          <w:rFonts w:ascii="Arial" w:hAnsi="Arial" w:cs="Arial"/>
          <w:color w:val="000361"/>
          <w:sz w:val="20"/>
          <w:szCs w:val="20"/>
        </w:rPr>
        <w:t xml:space="preserve">amb l’anàlisi horitzontal </w:t>
      </w:r>
      <w:r w:rsidR="00C82625">
        <w:rPr>
          <w:rFonts w:ascii="Arial" w:hAnsi="Arial" w:cs="Arial"/>
          <w:color w:val="000361"/>
          <w:sz w:val="20"/>
          <w:szCs w:val="20"/>
        </w:rPr>
        <w:t>s’</w:t>
      </w:r>
      <w:r w:rsidR="002138BD">
        <w:rPr>
          <w:rFonts w:ascii="Arial" w:hAnsi="Arial" w:cs="Arial"/>
          <w:color w:val="000361"/>
          <w:sz w:val="20"/>
          <w:szCs w:val="20"/>
        </w:rPr>
        <w:t>aprecia un augment important de</w:t>
      </w:r>
      <w:r>
        <w:rPr>
          <w:rFonts w:ascii="Arial" w:hAnsi="Arial" w:cs="Arial"/>
          <w:color w:val="000361"/>
          <w:sz w:val="20"/>
          <w:szCs w:val="20"/>
        </w:rPr>
        <w:t xml:space="preserve"> l’actiu corrent</w:t>
      </w:r>
      <w:r w:rsidR="002138BD">
        <w:rPr>
          <w:rFonts w:ascii="Arial" w:hAnsi="Arial" w:cs="Arial"/>
          <w:color w:val="000361"/>
          <w:sz w:val="20"/>
          <w:szCs w:val="20"/>
        </w:rPr>
        <w:t>,</w:t>
      </w:r>
      <w:r>
        <w:rPr>
          <w:rFonts w:ascii="Arial" w:hAnsi="Arial" w:cs="Arial"/>
          <w:color w:val="000361"/>
          <w:sz w:val="20"/>
          <w:szCs w:val="20"/>
        </w:rPr>
        <w:t xml:space="preserve"> un 21%</w:t>
      </w:r>
      <w:r w:rsidR="002138BD">
        <w:rPr>
          <w:rFonts w:ascii="Arial" w:hAnsi="Arial" w:cs="Arial"/>
          <w:color w:val="000361"/>
          <w:sz w:val="20"/>
          <w:szCs w:val="20"/>
        </w:rPr>
        <w:t xml:space="preserve"> respecte el 2018. P</w:t>
      </w:r>
      <w:r w:rsidR="00C82625">
        <w:rPr>
          <w:rFonts w:ascii="Arial" w:hAnsi="Arial" w:cs="Arial"/>
          <w:color w:val="000361"/>
          <w:sz w:val="20"/>
          <w:szCs w:val="20"/>
        </w:rPr>
        <w:t xml:space="preserve">rincipalment </w:t>
      </w:r>
      <w:r w:rsidR="006053E1">
        <w:rPr>
          <w:rFonts w:ascii="Arial" w:hAnsi="Arial" w:cs="Arial"/>
          <w:color w:val="000361"/>
          <w:sz w:val="20"/>
          <w:szCs w:val="20"/>
        </w:rPr>
        <w:t xml:space="preserve">prové de </w:t>
      </w:r>
      <w:r w:rsidR="00C82625">
        <w:rPr>
          <w:rFonts w:ascii="Arial" w:hAnsi="Arial" w:cs="Arial"/>
          <w:color w:val="000361"/>
          <w:sz w:val="20"/>
          <w:szCs w:val="20"/>
        </w:rPr>
        <w:t>la tresoreria que s’incrementa un 74% i la partida d’altres actius líquids amb un 62%.</w:t>
      </w:r>
      <w:r w:rsidR="00492999">
        <w:rPr>
          <w:rFonts w:ascii="Arial" w:hAnsi="Arial" w:cs="Arial"/>
          <w:color w:val="000361"/>
          <w:sz w:val="20"/>
          <w:szCs w:val="20"/>
        </w:rPr>
        <w:t xml:space="preserve"> Per altra banda, les partides amb major pes dins l’actiu circulant</w:t>
      </w:r>
      <w:r w:rsidR="002138BD">
        <w:rPr>
          <w:rFonts w:ascii="Arial" w:hAnsi="Arial" w:cs="Arial"/>
          <w:color w:val="000361"/>
          <w:sz w:val="20"/>
          <w:szCs w:val="20"/>
        </w:rPr>
        <w:t xml:space="preserve"> són els deutors comercials evolucionant a la baixa del 27% el 2015 fins al 19% el 2019, i les existències amb un pes que s’ha mantingut constant molt estable amb percentatges entre 16-17% en tots els exercicis.</w:t>
      </w:r>
      <w:r w:rsidR="00C82625">
        <w:rPr>
          <w:rFonts w:ascii="Arial" w:hAnsi="Arial" w:cs="Arial"/>
          <w:color w:val="000361"/>
          <w:sz w:val="20"/>
          <w:szCs w:val="20"/>
        </w:rPr>
        <w:t xml:space="preserve"> La tendència </w:t>
      </w:r>
      <w:r w:rsidR="006053E1">
        <w:rPr>
          <w:rFonts w:ascii="Arial" w:hAnsi="Arial" w:cs="Arial"/>
          <w:color w:val="000361"/>
          <w:sz w:val="20"/>
          <w:szCs w:val="20"/>
        </w:rPr>
        <w:t xml:space="preserve">dels exercicis estudiats ha evolucionat cap </w:t>
      </w:r>
      <w:r w:rsidR="00C82625">
        <w:rPr>
          <w:rFonts w:ascii="Arial" w:hAnsi="Arial" w:cs="Arial"/>
          <w:color w:val="000361"/>
          <w:sz w:val="20"/>
          <w:szCs w:val="20"/>
        </w:rPr>
        <w:t>a una major participació en el balanç dels actius no corrents amb un 57% l’any 2019 per un 4</w:t>
      </w:r>
      <w:r w:rsidR="00ED6702">
        <w:rPr>
          <w:rFonts w:ascii="Arial" w:hAnsi="Arial" w:cs="Arial"/>
          <w:color w:val="000361"/>
          <w:sz w:val="20"/>
          <w:szCs w:val="20"/>
        </w:rPr>
        <w:t>4</w:t>
      </w:r>
      <w:r w:rsidR="00C82625">
        <w:rPr>
          <w:rFonts w:ascii="Arial" w:hAnsi="Arial" w:cs="Arial"/>
          <w:color w:val="000361"/>
          <w:sz w:val="20"/>
          <w:szCs w:val="20"/>
        </w:rPr>
        <w:t>% d’actiu circulant</w:t>
      </w:r>
      <w:r w:rsidR="006053E1">
        <w:rPr>
          <w:rFonts w:ascii="Arial" w:hAnsi="Arial" w:cs="Arial"/>
          <w:color w:val="000361"/>
          <w:sz w:val="20"/>
          <w:szCs w:val="20"/>
        </w:rPr>
        <w:t xml:space="preserve"> a diferència del què es donava l’exercici 2015 on els actius corrents representaven més de la meitat dels actius totals</w:t>
      </w:r>
      <w:r w:rsidR="00ED6702">
        <w:rPr>
          <w:rFonts w:ascii="Arial" w:hAnsi="Arial" w:cs="Arial"/>
          <w:color w:val="000361"/>
          <w:sz w:val="20"/>
          <w:szCs w:val="20"/>
        </w:rPr>
        <w:t xml:space="preserve"> amb un 59%</w:t>
      </w:r>
      <w:r w:rsidR="006053E1">
        <w:rPr>
          <w:rFonts w:ascii="Arial" w:hAnsi="Arial" w:cs="Arial"/>
          <w:color w:val="000361"/>
          <w:sz w:val="20"/>
          <w:szCs w:val="20"/>
        </w:rPr>
        <w:t>.</w:t>
      </w:r>
      <w:r w:rsidR="004A6DBB">
        <w:rPr>
          <w:rFonts w:ascii="Arial" w:hAnsi="Arial" w:cs="Arial"/>
          <w:color w:val="000361"/>
          <w:sz w:val="20"/>
          <w:szCs w:val="20"/>
        </w:rPr>
        <w:t xml:space="preserve"> </w:t>
      </w:r>
    </w:p>
    <w:p w:rsidR="004A6DBB" w:rsidRDefault="004A6DBB" w:rsidP="002D48FA">
      <w:pPr>
        <w:pStyle w:val="Prrafodelista"/>
        <w:ind w:left="0"/>
        <w:jc w:val="both"/>
        <w:rPr>
          <w:rFonts w:ascii="Arial" w:hAnsi="Arial" w:cs="Arial"/>
          <w:color w:val="000361"/>
          <w:sz w:val="20"/>
          <w:szCs w:val="20"/>
        </w:rPr>
      </w:pPr>
    </w:p>
    <w:p w:rsidR="004A6DBB" w:rsidRDefault="004A6DBB" w:rsidP="002D48FA">
      <w:pPr>
        <w:pStyle w:val="Prrafodelista"/>
        <w:ind w:left="0"/>
        <w:jc w:val="both"/>
        <w:rPr>
          <w:rFonts w:ascii="Arial" w:hAnsi="Arial" w:cs="Arial"/>
          <w:color w:val="000361"/>
          <w:sz w:val="20"/>
          <w:szCs w:val="20"/>
        </w:rPr>
      </w:pPr>
      <w:r>
        <w:rPr>
          <w:rFonts w:ascii="Arial" w:hAnsi="Arial" w:cs="Arial"/>
          <w:color w:val="000361"/>
          <w:sz w:val="20"/>
          <w:szCs w:val="20"/>
        </w:rPr>
        <w:t xml:space="preserve">L’immobilitzat material representa al voltant d’un 90% dels actius no corrents en tots els exercicis, </w:t>
      </w:r>
      <w:r w:rsidR="00ED6702">
        <w:rPr>
          <w:rFonts w:ascii="Arial" w:hAnsi="Arial" w:cs="Arial"/>
          <w:color w:val="000361"/>
          <w:sz w:val="20"/>
          <w:szCs w:val="20"/>
        </w:rPr>
        <w:t>amb una ponderació del</w:t>
      </w:r>
      <w:r>
        <w:rPr>
          <w:rFonts w:ascii="Arial" w:hAnsi="Arial" w:cs="Arial"/>
          <w:color w:val="000361"/>
          <w:sz w:val="20"/>
          <w:szCs w:val="20"/>
        </w:rPr>
        <w:t xml:space="preserve"> 51% del l’actiu total l’any 2019 mentre que el 2015 </w:t>
      </w:r>
      <w:r w:rsidR="00ED6702">
        <w:rPr>
          <w:rFonts w:ascii="Arial" w:hAnsi="Arial" w:cs="Arial"/>
          <w:color w:val="000361"/>
          <w:sz w:val="20"/>
          <w:szCs w:val="20"/>
        </w:rPr>
        <w:t>era del</w:t>
      </w:r>
      <w:r>
        <w:rPr>
          <w:rFonts w:ascii="Arial" w:hAnsi="Arial" w:cs="Arial"/>
          <w:color w:val="000361"/>
          <w:sz w:val="20"/>
          <w:szCs w:val="20"/>
        </w:rPr>
        <w:t xml:space="preserve"> 36%. Aquest fet ve donat per l’augment de les inversions en immobilitzat material a raó d’un percentatge entre 20-30% anual.</w:t>
      </w:r>
    </w:p>
    <w:p w:rsidR="00E36026" w:rsidRDefault="00E36026" w:rsidP="002D48FA">
      <w:pPr>
        <w:pStyle w:val="Prrafodelista"/>
        <w:ind w:left="0"/>
        <w:jc w:val="both"/>
        <w:rPr>
          <w:rFonts w:ascii="Arial" w:hAnsi="Arial" w:cs="Arial"/>
          <w:color w:val="000361"/>
          <w:sz w:val="20"/>
          <w:szCs w:val="20"/>
        </w:rPr>
      </w:pPr>
    </w:p>
    <w:p w:rsidR="00E5704F" w:rsidRDefault="00E36026" w:rsidP="002D48FA">
      <w:pPr>
        <w:pStyle w:val="Prrafodelista"/>
        <w:ind w:left="0"/>
        <w:jc w:val="both"/>
        <w:rPr>
          <w:rFonts w:ascii="Arial" w:hAnsi="Arial" w:cs="Arial"/>
          <w:color w:val="000361"/>
          <w:sz w:val="20"/>
          <w:szCs w:val="20"/>
        </w:rPr>
      </w:pPr>
      <w:r>
        <w:rPr>
          <w:rFonts w:ascii="Arial" w:hAnsi="Arial" w:cs="Arial"/>
          <w:color w:val="000361"/>
          <w:sz w:val="20"/>
          <w:szCs w:val="20"/>
        </w:rPr>
        <w:t xml:space="preserve">L’estructura financera de l’empresa denota una gran estabilitat perquè l’endeutament és molt baix. Els recursos propis estan finançant un 70-75% de l’actiu </w:t>
      </w:r>
      <w:r w:rsidR="007B17BE">
        <w:rPr>
          <w:rFonts w:ascii="Arial" w:hAnsi="Arial" w:cs="Arial"/>
          <w:color w:val="000361"/>
          <w:sz w:val="20"/>
          <w:szCs w:val="20"/>
        </w:rPr>
        <w:t>i el finançament aliè un</w:t>
      </w:r>
      <w:r>
        <w:rPr>
          <w:rFonts w:ascii="Arial" w:hAnsi="Arial" w:cs="Arial"/>
          <w:color w:val="000361"/>
          <w:sz w:val="20"/>
          <w:szCs w:val="20"/>
        </w:rPr>
        <w:t xml:space="preserve"> 20-25%. </w:t>
      </w:r>
      <w:r w:rsidR="00DD5D23">
        <w:rPr>
          <w:rFonts w:ascii="Arial" w:hAnsi="Arial" w:cs="Arial"/>
          <w:color w:val="000361"/>
          <w:sz w:val="20"/>
          <w:szCs w:val="20"/>
        </w:rPr>
        <w:t xml:space="preserve">Dins del passiu, les obligacions a curt termini tenen un pes més important amb un 23% el 2015 que ha anat minvant fins a un 18% i els passiu no corrent només representava el 4% l’any 2015 augmentat la seva ponderació fins al 8% el 2019. </w:t>
      </w:r>
      <w:r w:rsidR="003A20C9">
        <w:rPr>
          <w:rFonts w:ascii="Arial" w:hAnsi="Arial" w:cs="Arial"/>
          <w:color w:val="000361"/>
          <w:sz w:val="20"/>
          <w:szCs w:val="20"/>
        </w:rPr>
        <w:t xml:space="preserve">Es pot veure com </w:t>
      </w:r>
      <w:r w:rsidR="00DD5D23">
        <w:rPr>
          <w:rFonts w:ascii="Arial" w:hAnsi="Arial" w:cs="Arial"/>
          <w:color w:val="000361"/>
          <w:sz w:val="20"/>
          <w:szCs w:val="20"/>
        </w:rPr>
        <w:t>el passiu no corrent</w:t>
      </w:r>
      <w:r w:rsidR="003A20C9">
        <w:rPr>
          <w:rFonts w:ascii="Arial" w:hAnsi="Arial" w:cs="Arial"/>
          <w:color w:val="000361"/>
          <w:sz w:val="20"/>
          <w:szCs w:val="20"/>
        </w:rPr>
        <w:t xml:space="preserve"> augmenta en un 100% l’any 2018 i 2019 mentre que el passiu exigible a curt termini té tendència a disminuir en tots els exercicis m</w:t>
      </w:r>
      <w:r w:rsidR="006F12B5">
        <w:rPr>
          <w:rFonts w:ascii="Arial" w:hAnsi="Arial" w:cs="Arial"/>
          <w:color w:val="000361"/>
          <w:sz w:val="20"/>
          <w:szCs w:val="20"/>
        </w:rPr>
        <w:t>enys</w:t>
      </w:r>
      <w:r w:rsidR="003A20C9">
        <w:rPr>
          <w:rFonts w:ascii="Arial" w:hAnsi="Arial" w:cs="Arial"/>
          <w:color w:val="000361"/>
          <w:sz w:val="20"/>
          <w:szCs w:val="20"/>
        </w:rPr>
        <w:t xml:space="preserve"> el 2019 que augmenta un 28%. S’intueix que Hipra a partir 2018 es mostra </w:t>
      </w:r>
      <w:r w:rsidR="00E5704F">
        <w:rPr>
          <w:rFonts w:ascii="Arial" w:hAnsi="Arial" w:cs="Arial"/>
          <w:color w:val="000361"/>
          <w:sz w:val="20"/>
          <w:szCs w:val="20"/>
        </w:rPr>
        <w:t>més receptiva a l’ús</w:t>
      </w:r>
      <w:r w:rsidR="003A20C9">
        <w:rPr>
          <w:rFonts w:ascii="Arial" w:hAnsi="Arial" w:cs="Arial"/>
          <w:color w:val="000361"/>
          <w:sz w:val="20"/>
          <w:szCs w:val="20"/>
        </w:rPr>
        <w:t xml:space="preserve">  </w:t>
      </w:r>
      <w:r w:rsidR="00E5704F">
        <w:rPr>
          <w:rFonts w:ascii="Arial" w:hAnsi="Arial" w:cs="Arial"/>
          <w:color w:val="000361"/>
          <w:sz w:val="20"/>
          <w:szCs w:val="20"/>
        </w:rPr>
        <w:t>d</w:t>
      </w:r>
      <w:r w:rsidR="003A20C9">
        <w:rPr>
          <w:rFonts w:ascii="Arial" w:hAnsi="Arial" w:cs="Arial"/>
          <w:color w:val="000361"/>
          <w:sz w:val="20"/>
          <w:szCs w:val="20"/>
        </w:rPr>
        <w:t>el finançament aliè a llarg termini</w:t>
      </w:r>
      <w:r w:rsidR="003016FD">
        <w:rPr>
          <w:rFonts w:ascii="Arial" w:hAnsi="Arial" w:cs="Arial"/>
          <w:color w:val="000361"/>
          <w:sz w:val="20"/>
          <w:szCs w:val="20"/>
        </w:rPr>
        <w:t xml:space="preserve">, </w:t>
      </w:r>
      <w:r w:rsidR="00E5704F">
        <w:rPr>
          <w:rFonts w:ascii="Arial" w:hAnsi="Arial" w:cs="Arial"/>
          <w:color w:val="000361"/>
          <w:sz w:val="20"/>
          <w:szCs w:val="20"/>
        </w:rPr>
        <w:t xml:space="preserve">la contenció del passiu corrent </w:t>
      </w:r>
      <w:r w:rsidR="00322D79">
        <w:rPr>
          <w:rFonts w:ascii="Arial" w:hAnsi="Arial" w:cs="Arial"/>
          <w:color w:val="000361"/>
          <w:sz w:val="20"/>
          <w:szCs w:val="20"/>
        </w:rPr>
        <w:t xml:space="preserve">i </w:t>
      </w:r>
      <w:r w:rsidR="00FE00DD">
        <w:rPr>
          <w:rFonts w:ascii="Arial" w:hAnsi="Arial" w:cs="Arial"/>
          <w:color w:val="000361"/>
          <w:sz w:val="20"/>
          <w:szCs w:val="20"/>
        </w:rPr>
        <w:t>s’alleugereix</w:t>
      </w:r>
      <w:r w:rsidR="003016FD">
        <w:rPr>
          <w:rFonts w:ascii="Arial" w:hAnsi="Arial" w:cs="Arial"/>
          <w:color w:val="000361"/>
          <w:sz w:val="20"/>
          <w:szCs w:val="20"/>
        </w:rPr>
        <w:t xml:space="preserve"> el pes </w:t>
      </w:r>
      <w:r w:rsidR="00FE00DD">
        <w:rPr>
          <w:rFonts w:ascii="Arial" w:hAnsi="Arial" w:cs="Arial"/>
          <w:color w:val="000361"/>
          <w:sz w:val="20"/>
          <w:szCs w:val="20"/>
        </w:rPr>
        <w:t xml:space="preserve">del </w:t>
      </w:r>
      <w:r w:rsidR="003016FD">
        <w:rPr>
          <w:rFonts w:ascii="Arial" w:hAnsi="Arial" w:cs="Arial"/>
          <w:color w:val="000361"/>
          <w:sz w:val="20"/>
          <w:szCs w:val="20"/>
        </w:rPr>
        <w:t>finançament propi sobre els recursos no permanents</w:t>
      </w:r>
      <w:r w:rsidR="00E5704F">
        <w:rPr>
          <w:rFonts w:ascii="Arial" w:hAnsi="Arial" w:cs="Arial"/>
          <w:color w:val="000361"/>
          <w:sz w:val="20"/>
          <w:szCs w:val="20"/>
        </w:rPr>
        <w:t>.</w:t>
      </w:r>
    </w:p>
    <w:p w:rsidR="00E5704F" w:rsidRDefault="00E5704F" w:rsidP="002D48FA">
      <w:pPr>
        <w:pStyle w:val="Prrafodelista"/>
        <w:ind w:left="0"/>
        <w:jc w:val="both"/>
        <w:rPr>
          <w:rFonts w:ascii="Arial" w:hAnsi="Arial" w:cs="Arial"/>
          <w:color w:val="000361"/>
          <w:sz w:val="20"/>
          <w:szCs w:val="20"/>
        </w:rPr>
      </w:pPr>
    </w:p>
    <w:p w:rsidR="00E36026" w:rsidRDefault="00E5704F" w:rsidP="002D48FA">
      <w:pPr>
        <w:pStyle w:val="Prrafodelista"/>
        <w:ind w:left="0"/>
        <w:jc w:val="both"/>
        <w:rPr>
          <w:rFonts w:ascii="Arial" w:hAnsi="Arial" w:cs="Arial"/>
          <w:color w:val="000361"/>
          <w:sz w:val="20"/>
          <w:szCs w:val="20"/>
        </w:rPr>
      </w:pPr>
      <w:r>
        <w:rPr>
          <w:rFonts w:ascii="Arial" w:hAnsi="Arial" w:cs="Arial"/>
          <w:color w:val="000361"/>
          <w:sz w:val="20"/>
          <w:szCs w:val="20"/>
        </w:rPr>
        <w:t xml:space="preserve">Certament l’empresa gaudeix de una gran capacitat d’endeutament i caldrà analitzar si </w:t>
      </w:r>
      <w:r w:rsidR="00FE00DD">
        <w:rPr>
          <w:rFonts w:ascii="Arial" w:hAnsi="Arial" w:cs="Arial"/>
          <w:color w:val="000361"/>
          <w:sz w:val="20"/>
          <w:szCs w:val="20"/>
        </w:rPr>
        <w:t>els fons propis</w:t>
      </w:r>
      <w:r>
        <w:rPr>
          <w:rFonts w:ascii="Arial" w:hAnsi="Arial" w:cs="Arial"/>
          <w:color w:val="000361"/>
          <w:sz w:val="20"/>
          <w:szCs w:val="20"/>
        </w:rPr>
        <w:t xml:space="preserve"> </w:t>
      </w:r>
      <w:r w:rsidR="00FE00DD">
        <w:rPr>
          <w:rFonts w:ascii="Arial" w:hAnsi="Arial" w:cs="Arial"/>
          <w:color w:val="000361"/>
          <w:sz w:val="20"/>
          <w:szCs w:val="20"/>
        </w:rPr>
        <w:t>utilitzats</w:t>
      </w:r>
      <w:r>
        <w:rPr>
          <w:rFonts w:ascii="Arial" w:hAnsi="Arial" w:cs="Arial"/>
          <w:color w:val="000361"/>
          <w:sz w:val="20"/>
          <w:szCs w:val="20"/>
        </w:rPr>
        <w:t xml:space="preserve"> </w:t>
      </w:r>
      <w:r w:rsidR="00FE00DD">
        <w:rPr>
          <w:rFonts w:ascii="Arial" w:hAnsi="Arial" w:cs="Arial"/>
          <w:color w:val="000361"/>
          <w:sz w:val="20"/>
          <w:szCs w:val="20"/>
        </w:rPr>
        <w:t>són</w:t>
      </w:r>
      <w:r>
        <w:rPr>
          <w:rFonts w:ascii="Arial" w:hAnsi="Arial" w:cs="Arial"/>
          <w:color w:val="000361"/>
          <w:sz w:val="20"/>
          <w:szCs w:val="20"/>
        </w:rPr>
        <w:t xml:space="preserve"> adequat</w:t>
      </w:r>
      <w:r w:rsidR="00FE00DD">
        <w:rPr>
          <w:rFonts w:ascii="Arial" w:hAnsi="Arial" w:cs="Arial"/>
          <w:color w:val="000361"/>
          <w:sz w:val="20"/>
          <w:szCs w:val="20"/>
        </w:rPr>
        <w:t>s</w:t>
      </w:r>
      <w:r>
        <w:rPr>
          <w:rFonts w:ascii="Arial" w:hAnsi="Arial" w:cs="Arial"/>
          <w:color w:val="000361"/>
          <w:sz w:val="20"/>
          <w:szCs w:val="20"/>
        </w:rPr>
        <w:t xml:space="preserve"> en termes de rendibilitat o si estem incorrent en costos d’oportunitat. </w:t>
      </w:r>
    </w:p>
    <w:p w:rsidR="006053E1" w:rsidRDefault="006053E1" w:rsidP="002D48FA">
      <w:pPr>
        <w:pStyle w:val="Prrafodelista"/>
        <w:ind w:left="0"/>
        <w:jc w:val="both"/>
        <w:rPr>
          <w:rFonts w:ascii="Arial" w:hAnsi="Arial" w:cs="Arial"/>
          <w:i/>
          <w:color w:val="000361"/>
          <w:sz w:val="20"/>
          <w:szCs w:val="20"/>
        </w:rPr>
      </w:pPr>
    </w:p>
    <w:tbl>
      <w:tblPr>
        <w:tblStyle w:val="Tablaconcuadrcula"/>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81"/>
      </w:tblGrid>
      <w:tr w:rsidR="00AE1EC6" w:rsidTr="00AE1EC6">
        <w:trPr>
          <w:trHeight w:val="230"/>
        </w:trPr>
        <w:tc>
          <w:tcPr>
            <w:tcW w:w="4531" w:type="dxa"/>
          </w:tcPr>
          <w:p w:rsidR="00AE1EC6" w:rsidRPr="00AE1EC6" w:rsidRDefault="00AE1EC6" w:rsidP="002D48FA">
            <w:pPr>
              <w:pStyle w:val="Prrafodelista"/>
              <w:ind w:left="0"/>
              <w:jc w:val="both"/>
              <w:rPr>
                <w:rFonts w:ascii="Arial" w:hAnsi="Arial" w:cs="Arial"/>
                <w:i/>
                <w:color w:val="000361"/>
                <w:sz w:val="20"/>
                <w:szCs w:val="20"/>
              </w:rPr>
            </w:pPr>
            <w:r w:rsidRPr="00AE1EC6">
              <w:rPr>
                <w:rFonts w:ascii="Arial" w:hAnsi="Arial" w:cs="Arial"/>
                <w:noProof/>
                <w:color w:val="002060"/>
                <w:sz w:val="20"/>
                <w:szCs w:val="20"/>
              </w:rPr>
              <w:t>Gràfic 2.1. Estructura de l’actiu (anys 2019-2015)</w:t>
            </w:r>
          </w:p>
        </w:tc>
        <w:tc>
          <w:tcPr>
            <w:tcW w:w="5181" w:type="dxa"/>
          </w:tcPr>
          <w:p w:rsidR="00AE1EC6" w:rsidRPr="0036789D" w:rsidRDefault="00AE1EC6" w:rsidP="002D48FA">
            <w:pPr>
              <w:pStyle w:val="Prrafodelista"/>
              <w:ind w:left="0"/>
              <w:jc w:val="both"/>
              <w:rPr>
                <w:rFonts w:ascii="Arial" w:hAnsi="Arial" w:cs="Arial"/>
                <w:i/>
                <w:color w:val="002060"/>
                <w:sz w:val="20"/>
                <w:szCs w:val="20"/>
              </w:rPr>
            </w:pPr>
            <w:r w:rsidRPr="0036789D">
              <w:rPr>
                <w:rFonts w:ascii="Arial" w:hAnsi="Arial" w:cs="Arial"/>
                <w:noProof/>
                <w:color w:val="002060"/>
                <w:sz w:val="20"/>
                <w:szCs w:val="20"/>
              </w:rPr>
              <w:t>Gràfic 2.2. Estructura del passiu (anys 2019-2015)</w:t>
            </w:r>
          </w:p>
        </w:tc>
      </w:tr>
      <w:tr w:rsidR="00AE1EC6" w:rsidTr="00AE1EC6">
        <w:trPr>
          <w:trHeight w:val="4088"/>
        </w:trPr>
        <w:tc>
          <w:tcPr>
            <w:tcW w:w="4531" w:type="dxa"/>
          </w:tcPr>
          <w:p w:rsidR="00AE1EC6" w:rsidRDefault="00AE1EC6" w:rsidP="002D48FA">
            <w:pPr>
              <w:pStyle w:val="Prrafodelista"/>
              <w:ind w:left="0"/>
              <w:jc w:val="both"/>
              <w:rPr>
                <w:rFonts w:ascii="Arial" w:hAnsi="Arial" w:cs="Arial"/>
                <w:i/>
                <w:color w:val="000361"/>
                <w:sz w:val="20"/>
                <w:szCs w:val="20"/>
              </w:rPr>
            </w:pPr>
            <w:r>
              <w:rPr>
                <w:noProof/>
              </w:rPr>
              <w:drawing>
                <wp:inline distT="0" distB="0" distL="0" distR="0" wp14:anchorId="41D2766D" wp14:editId="42160D49">
                  <wp:extent cx="2729948" cy="2576830"/>
                  <wp:effectExtent l="0" t="0" r="635" b="1270"/>
                  <wp:docPr id="5" name="Gráfico 5">
                    <a:extLst xmlns:a="http://schemas.openxmlformats.org/drawingml/2006/main">
                      <a:ext uri="{FF2B5EF4-FFF2-40B4-BE49-F238E27FC236}">
                        <a16:creationId xmlns:a16="http://schemas.microsoft.com/office/drawing/2014/main" id="{BE2C6F6D-B1B3-2840-B0CE-F6F368D3FE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181" w:type="dxa"/>
          </w:tcPr>
          <w:p w:rsidR="00AE1EC6" w:rsidRDefault="00AE1EC6" w:rsidP="002D48FA">
            <w:pPr>
              <w:pStyle w:val="Prrafodelista"/>
              <w:ind w:left="0"/>
              <w:jc w:val="both"/>
              <w:rPr>
                <w:rFonts w:ascii="Arial" w:hAnsi="Arial" w:cs="Arial"/>
                <w:i/>
                <w:color w:val="000361"/>
                <w:sz w:val="20"/>
                <w:szCs w:val="20"/>
              </w:rPr>
            </w:pPr>
            <w:r>
              <w:rPr>
                <w:noProof/>
              </w:rPr>
              <w:drawing>
                <wp:inline distT="0" distB="0" distL="0" distR="0" wp14:anchorId="3CBA7F74" wp14:editId="59B84953">
                  <wp:extent cx="2930857" cy="2576830"/>
                  <wp:effectExtent l="0" t="0" r="3175" b="1270"/>
                  <wp:docPr id="6" name="Gráfico 6">
                    <a:extLst xmlns:a="http://schemas.openxmlformats.org/drawingml/2006/main">
                      <a:ext uri="{FF2B5EF4-FFF2-40B4-BE49-F238E27FC236}">
                        <a16:creationId xmlns:a16="http://schemas.microsoft.com/office/drawing/2014/main" id="{7EA9467D-D8EB-8347-8AD0-28968B7937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AE1EC6" w:rsidTr="00AE1EC6">
        <w:trPr>
          <w:trHeight w:val="230"/>
        </w:trPr>
        <w:tc>
          <w:tcPr>
            <w:tcW w:w="4531" w:type="dxa"/>
          </w:tcPr>
          <w:p w:rsidR="00AE1EC6" w:rsidRPr="00AE1EC6" w:rsidRDefault="00AE1EC6" w:rsidP="002D48FA">
            <w:pPr>
              <w:pStyle w:val="Prrafodelista"/>
              <w:ind w:left="0"/>
              <w:jc w:val="both"/>
              <w:rPr>
                <w:rFonts w:ascii="Arial" w:hAnsi="Arial" w:cs="Arial"/>
                <w:color w:val="000361"/>
                <w:sz w:val="14"/>
                <w:szCs w:val="14"/>
              </w:rPr>
            </w:pPr>
            <w:r>
              <w:rPr>
                <w:rFonts w:ascii="Arial" w:hAnsi="Arial" w:cs="Arial"/>
                <w:color w:val="000361"/>
                <w:sz w:val="14"/>
                <w:szCs w:val="14"/>
              </w:rPr>
              <w:t>Font: Elaboració pròpia</w:t>
            </w:r>
            <w:r w:rsidR="00371EA4">
              <w:rPr>
                <w:rFonts w:ascii="Arial" w:hAnsi="Arial" w:cs="Arial"/>
                <w:color w:val="000361"/>
                <w:sz w:val="14"/>
                <w:szCs w:val="14"/>
              </w:rPr>
              <w:t xml:space="preserve"> segons comptes anuals de Hipra</w:t>
            </w:r>
          </w:p>
        </w:tc>
        <w:tc>
          <w:tcPr>
            <w:tcW w:w="5181" w:type="dxa"/>
          </w:tcPr>
          <w:p w:rsidR="00AE1EC6" w:rsidRDefault="00AE1EC6" w:rsidP="002D48FA">
            <w:pPr>
              <w:pStyle w:val="Prrafodelista"/>
              <w:ind w:left="0"/>
              <w:jc w:val="both"/>
              <w:rPr>
                <w:rFonts w:ascii="Arial" w:hAnsi="Arial" w:cs="Arial"/>
                <w:i/>
                <w:color w:val="000361"/>
                <w:sz w:val="20"/>
                <w:szCs w:val="20"/>
              </w:rPr>
            </w:pPr>
            <w:r>
              <w:rPr>
                <w:rFonts w:ascii="Arial" w:hAnsi="Arial" w:cs="Arial"/>
                <w:color w:val="000361"/>
                <w:sz w:val="14"/>
                <w:szCs w:val="14"/>
              </w:rPr>
              <w:t>Font: Elaboració pròpia</w:t>
            </w:r>
            <w:r w:rsidR="00371EA4">
              <w:rPr>
                <w:rFonts w:ascii="Arial" w:hAnsi="Arial" w:cs="Arial"/>
                <w:color w:val="000361"/>
                <w:sz w:val="14"/>
                <w:szCs w:val="14"/>
              </w:rPr>
              <w:t xml:space="preserve"> segons comptes anuals de Hipra</w:t>
            </w:r>
          </w:p>
        </w:tc>
      </w:tr>
    </w:tbl>
    <w:p w:rsidR="00AE1EC6" w:rsidRDefault="00AE1EC6" w:rsidP="002D48FA">
      <w:pPr>
        <w:pStyle w:val="Prrafodelista"/>
        <w:ind w:left="0"/>
        <w:jc w:val="both"/>
        <w:rPr>
          <w:rFonts w:ascii="Arial" w:hAnsi="Arial" w:cs="Arial"/>
          <w:i/>
          <w:color w:val="000361"/>
          <w:sz w:val="20"/>
          <w:szCs w:val="20"/>
        </w:rPr>
      </w:pPr>
    </w:p>
    <w:p w:rsidR="00AE1EC6" w:rsidRDefault="00AE1EC6" w:rsidP="002D48FA">
      <w:pPr>
        <w:pStyle w:val="Prrafodelista"/>
        <w:ind w:left="0"/>
        <w:jc w:val="both"/>
        <w:rPr>
          <w:rFonts w:ascii="Arial" w:hAnsi="Arial" w:cs="Arial"/>
          <w:i/>
          <w:color w:val="000361"/>
          <w:sz w:val="20"/>
          <w:szCs w:val="20"/>
        </w:rPr>
      </w:pPr>
    </w:p>
    <w:p w:rsidR="00AE1EC6" w:rsidRDefault="00AE1EC6" w:rsidP="002D48FA">
      <w:pPr>
        <w:pStyle w:val="Prrafodelista"/>
        <w:ind w:left="0"/>
        <w:jc w:val="both"/>
        <w:rPr>
          <w:rFonts w:ascii="Arial" w:hAnsi="Arial" w:cs="Arial"/>
          <w:i/>
          <w:color w:val="000361"/>
          <w:sz w:val="20"/>
          <w:szCs w:val="20"/>
        </w:rPr>
      </w:pPr>
      <w:r>
        <w:rPr>
          <w:rFonts w:ascii="Arial" w:hAnsi="Arial" w:cs="Arial"/>
          <w:i/>
          <w:color w:val="000361"/>
          <w:sz w:val="20"/>
          <w:szCs w:val="20"/>
        </w:rPr>
        <w:br w:type="page"/>
      </w:r>
    </w:p>
    <w:p w:rsidR="002D48FA" w:rsidRPr="00942F89" w:rsidRDefault="00106DD6" w:rsidP="002D48FA">
      <w:pPr>
        <w:pStyle w:val="Prrafodelista"/>
        <w:ind w:left="0"/>
        <w:jc w:val="both"/>
        <w:rPr>
          <w:rFonts w:ascii="Arial" w:hAnsi="Arial" w:cs="Arial"/>
          <w:i/>
          <w:color w:val="000361"/>
          <w:sz w:val="20"/>
          <w:szCs w:val="20"/>
        </w:rPr>
      </w:pPr>
      <w:r w:rsidRPr="00942F89">
        <w:rPr>
          <w:rFonts w:ascii="Arial" w:hAnsi="Arial" w:cs="Arial"/>
          <w:i/>
          <w:color w:val="000361"/>
          <w:sz w:val="20"/>
          <w:szCs w:val="20"/>
        </w:rPr>
        <w:lastRenderedPageBreak/>
        <w:t>2.2.2. Anàlisi financer</w:t>
      </w:r>
    </w:p>
    <w:p w:rsidR="00C40C6E" w:rsidRDefault="00C40C6E" w:rsidP="002D48FA">
      <w:pPr>
        <w:jc w:val="both"/>
        <w:rPr>
          <w:rFonts w:ascii="Arial" w:hAnsi="Arial" w:cs="Arial"/>
          <w:b/>
          <w:color w:val="000361"/>
        </w:rPr>
      </w:pPr>
    </w:p>
    <w:p w:rsidR="007F1985" w:rsidRDefault="00C40C6E" w:rsidP="002D48FA">
      <w:pPr>
        <w:jc w:val="both"/>
        <w:rPr>
          <w:rFonts w:ascii="Arial" w:hAnsi="Arial" w:cs="Arial"/>
          <w:color w:val="002060"/>
          <w:sz w:val="20"/>
          <w:szCs w:val="20"/>
        </w:rPr>
      </w:pPr>
      <w:r>
        <w:rPr>
          <w:rFonts w:ascii="Arial" w:hAnsi="Arial" w:cs="Arial"/>
          <w:color w:val="002060"/>
          <w:sz w:val="20"/>
          <w:szCs w:val="20"/>
        </w:rPr>
        <w:t xml:space="preserve">A partir de la informació obtinguda amb els balanços de situació dels </w:t>
      </w:r>
      <w:r w:rsidR="00DF620D">
        <w:rPr>
          <w:rFonts w:ascii="Arial" w:hAnsi="Arial" w:cs="Arial"/>
          <w:color w:val="002060"/>
          <w:sz w:val="20"/>
          <w:szCs w:val="20"/>
        </w:rPr>
        <w:t>períodes</w:t>
      </w:r>
      <w:r>
        <w:rPr>
          <w:rFonts w:ascii="Arial" w:hAnsi="Arial" w:cs="Arial"/>
          <w:color w:val="002060"/>
          <w:sz w:val="20"/>
          <w:szCs w:val="20"/>
        </w:rPr>
        <w:t xml:space="preserve"> 2015 al 2019</w:t>
      </w:r>
      <w:r w:rsidR="00230A76">
        <w:rPr>
          <w:rFonts w:ascii="Arial" w:hAnsi="Arial" w:cs="Arial"/>
          <w:color w:val="002060"/>
          <w:sz w:val="20"/>
          <w:szCs w:val="20"/>
        </w:rPr>
        <w:t xml:space="preserve"> de Laboratoris HIPRA</w:t>
      </w:r>
      <w:r>
        <w:rPr>
          <w:rFonts w:ascii="Arial" w:hAnsi="Arial" w:cs="Arial"/>
          <w:color w:val="002060"/>
          <w:sz w:val="20"/>
          <w:szCs w:val="20"/>
        </w:rPr>
        <w:t xml:space="preserve"> s’analitza l’equilibri entre l’estructura econòmica i financera</w:t>
      </w:r>
      <w:r w:rsidR="006462C5">
        <w:rPr>
          <w:rFonts w:ascii="Arial" w:hAnsi="Arial" w:cs="Arial"/>
          <w:color w:val="002060"/>
          <w:sz w:val="20"/>
          <w:szCs w:val="20"/>
        </w:rPr>
        <w:t xml:space="preserve"> a través de les ràtios de liquiditat, d’endeutament i fons de maniobra que interrelacionen les fonts de finançament i les inversions. El valors obtinguts per cadascuna de les ràtios es troba a la següent taula juntament amb els valors que tenen la consideració d’òptims</w:t>
      </w:r>
      <w:r w:rsidR="00230A76">
        <w:rPr>
          <w:rFonts w:ascii="Arial" w:hAnsi="Arial" w:cs="Arial"/>
          <w:color w:val="002060"/>
          <w:sz w:val="20"/>
          <w:szCs w:val="20"/>
        </w:rPr>
        <w:t xml:space="preserve"> encara que aquests valors poden ser diferents donades </w:t>
      </w:r>
      <w:r w:rsidR="006462C5">
        <w:rPr>
          <w:rFonts w:ascii="Arial" w:hAnsi="Arial" w:cs="Arial"/>
          <w:color w:val="002060"/>
          <w:sz w:val="20"/>
          <w:szCs w:val="20"/>
        </w:rPr>
        <w:t>de les característiques de cada sector econòmic</w:t>
      </w:r>
      <w:r w:rsidR="00230A76">
        <w:rPr>
          <w:rFonts w:ascii="Arial" w:hAnsi="Arial" w:cs="Arial"/>
          <w:color w:val="002060"/>
          <w:sz w:val="20"/>
          <w:szCs w:val="20"/>
        </w:rPr>
        <w:t xml:space="preserve">. </w:t>
      </w:r>
      <w:r w:rsidR="00A12F82">
        <w:rPr>
          <w:rFonts w:ascii="Arial" w:hAnsi="Arial" w:cs="Arial"/>
          <w:color w:val="002060"/>
          <w:sz w:val="20"/>
          <w:szCs w:val="20"/>
        </w:rPr>
        <w:t>A</w:t>
      </w:r>
      <w:r w:rsidR="00230A76">
        <w:rPr>
          <w:rFonts w:ascii="Arial" w:hAnsi="Arial" w:cs="Arial"/>
          <w:color w:val="002060"/>
          <w:sz w:val="20"/>
          <w:szCs w:val="20"/>
        </w:rPr>
        <w:t xml:space="preserve"> </w:t>
      </w:r>
      <w:r w:rsidR="00230A76" w:rsidRPr="00A12F82">
        <w:rPr>
          <w:rFonts w:ascii="Arial" w:hAnsi="Arial" w:cs="Arial"/>
          <w:i/>
          <w:color w:val="002060"/>
          <w:sz w:val="20"/>
          <w:szCs w:val="20"/>
        </w:rPr>
        <w:t>l’annex</w:t>
      </w:r>
      <w:r w:rsidR="00A12F82" w:rsidRPr="00A12F82">
        <w:rPr>
          <w:rFonts w:ascii="Arial" w:hAnsi="Arial" w:cs="Arial"/>
          <w:i/>
          <w:color w:val="002060"/>
          <w:sz w:val="20"/>
          <w:szCs w:val="20"/>
        </w:rPr>
        <w:t xml:space="preserve"> 1.1.</w:t>
      </w:r>
      <w:r w:rsidR="00230A76">
        <w:rPr>
          <w:rFonts w:ascii="Arial" w:hAnsi="Arial" w:cs="Arial"/>
          <w:color w:val="002060"/>
          <w:sz w:val="20"/>
          <w:szCs w:val="20"/>
        </w:rPr>
        <w:t xml:space="preserve"> podrem trobar els càlculs que acompanyen aquestes ràtios.</w:t>
      </w:r>
    </w:p>
    <w:p w:rsidR="007F1985" w:rsidRDefault="007F1985" w:rsidP="002D48FA">
      <w:pPr>
        <w:jc w:val="both"/>
        <w:rPr>
          <w:rFonts w:ascii="Arial" w:hAnsi="Arial" w:cs="Arial"/>
          <w:b/>
          <w:color w:val="000361"/>
        </w:rPr>
      </w:pPr>
    </w:p>
    <w:p w:rsidR="007A1116" w:rsidRPr="007A1116" w:rsidRDefault="007A1116" w:rsidP="002D48FA">
      <w:pPr>
        <w:jc w:val="both"/>
        <w:rPr>
          <w:rFonts w:ascii="Arial" w:hAnsi="Arial" w:cs="Arial"/>
          <w:color w:val="002060"/>
          <w:sz w:val="20"/>
          <w:szCs w:val="20"/>
        </w:rPr>
      </w:pPr>
      <w:r>
        <w:rPr>
          <w:rFonts w:ascii="Arial" w:hAnsi="Arial" w:cs="Arial"/>
          <w:color w:val="002060"/>
          <w:sz w:val="20"/>
          <w:szCs w:val="20"/>
        </w:rPr>
        <w:t>Taula 2.3. Ràtios financeres de Laboratoris H</w:t>
      </w:r>
      <w:r w:rsidR="00D51D8D">
        <w:rPr>
          <w:rFonts w:ascii="Arial" w:hAnsi="Arial" w:cs="Arial"/>
          <w:color w:val="002060"/>
          <w:sz w:val="20"/>
          <w:szCs w:val="20"/>
        </w:rPr>
        <w:t>ipra</w:t>
      </w:r>
    </w:p>
    <w:p w:rsidR="007A1116" w:rsidRDefault="007A1116" w:rsidP="002D48FA">
      <w:pPr>
        <w:jc w:val="both"/>
        <w:rPr>
          <w:rFonts w:ascii="Arial" w:hAnsi="Arial" w:cs="Arial"/>
          <w:b/>
          <w:color w:val="000361"/>
        </w:rPr>
      </w:pPr>
    </w:p>
    <w:tbl>
      <w:tblPr>
        <w:tblW w:w="9040" w:type="dxa"/>
        <w:tblCellMar>
          <w:left w:w="70" w:type="dxa"/>
          <w:right w:w="70" w:type="dxa"/>
        </w:tblCellMar>
        <w:tblLook w:val="04A0" w:firstRow="1" w:lastRow="0" w:firstColumn="1" w:lastColumn="0" w:noHBand="0" w:noVBand="1"/>
      </w:tblPr>
      <w:tblGrid>
        <w:gridCol w:w="2985"/>
        <w:gridCol w:w="1325"/>
        <w:gridCol w:w="946"/>
        <w:gridCol w:w="946"/>
        <w:gridCol w:w="946"/>
        <w:gridCol w:w="946"/>
        <w:gridCol w:w="946"/>
      </w:tblGrid>
      <w:tr w:rsidR="007F1985" w:rsidRPr="007F1985" w:rsidTr="007F1985">
        <w:trPr>
          <w:trHeight w:val="293"/>
        </w:trPr>
        <w:tc>
          <w:tcPr>
            <w:tcW w:w="2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985" w:rsidRPr="007F1985" w:rsidRDefault="007F1985" w:rsidP="007F1985">
            <w:pPr>
              <w:rPr>
                <w:rFonts w:ascii="Arial" w:hAnsi="Arial" w:cs="Arial"/>
                <w:b/>
                <w:bCs/>
                <w:color w:val="002060"/>
                <w:sz w:val="20"/>
                <w:szCs w:val="20"/>
              </w:rPr>
            </w:pPr>
            <w:bookmarkStart w:id="1" w:name="RANGE!B2:H20"/>
            <w:r w:rsidRPr="007F1985">
              <w:rPr>
                <w:rFonts w:ascii="Arial" w:hAnsi="Arial" w:cs="Arial"/>
                <w:b/>
                <w:bCs/>
                <w:color w:val="002060"/>
                <w:sz w:val="20"/>
                <w:szCs w:val="20"/>
              </w:rPr>
              <w:t>RÀTIOS FINANCERES</w:t>
            </w:r>
            <w:bookmarkEnd w:id="1"/>
          </w:p>
        </w:tc>
        <w:tc>
          <w:tcPr>
            <w:tcW w:w="13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985" w:rsidRPr="007F1985" w:rsidRDefault="007F1985" w:rsidP="007F1985">
            <w:pPr>
              <w:jc w:val="center"/>
              <w:rPr>
                <w:rFonts w:ascii="Arial" w:hAnsi="Arial" w:cs="Arial"/>
                <w:b/>
                <w:bCs/>
                <w:color w:val="002060"/>
                <w:sz w:val="20"/>
                <w:szCs w:val="20"/>
              </w:rPr>
            </w:pPr>
            <w:r w:rsidRPr="007F1985">
              <w:rPr>
                <w:rFonts w:ascii="Arial" w:hAnsi="Arial" w:cs="Arial"/>
                <w:b/>
                <w:bCs/>
                <w:color w:val="002060"/>
                <w:sz w:val="20"/>
                <w:szCs w:val="20"/>
              </w:rPr>
              <w:t>Valor Òptim</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985" w:rsidRPr="007F1985" w:rsidRDefault="007F1985" w:rsidP="007F1985">
            <w:pPr>
              <w:jc w:val="center"/>
              <w:rPr>
                <w:rFonts w:ascii="Arial" w:hAnsi="Arial" w:cs="Arial"/>
                <w:b/>
                <w:bCs/>
                <w:color w:val="002060"/>
                <w:sz w:val="20"/>
                <w:szCs w:val="20"/>
              </w:rPr>
            </w:pPr>
            <w:r w:rsidRPr="007F1985">
              <w:rPr>
                <w:rFonts w:ascii="Arial" w:hAnsi="Arial" w:cs="Arial"/>
                <w:b/>
                <w:bCs/>
                <w:color w:val="002060"/>
                <w:sz w:val="20"/>
                <w:szCs w:val="20"/>
              </w:rPr>
              <w:t>2019</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985" w:rsidRPr="007F1985" w:rsidRDefault="007F1985" w:rsidP="007F1985">
            <w:pPr>
              <w:jc w:val="center"/>
              <w:rPr>
                <w:rFonts w:ascii="Arial" w:hAnsi="Arial" w:cs="Arial"/>
                <w:b/>
                <w:bCs/>
                <w:color w:val="002060"/>
                <w:sz w:val="20"/>
                <w:szCs w:val="20"/>
              </w:rPr>
            </w:pPr>
            <w:r w:rsidRPr="007F1985">
              <w:rPr>
                <w:rFonts w:ascii="Arial" w:hAnsi="Arial" w:cs="Arial"/>
                <w:b/>
                <w:bCs/>
                <w:color w:val="002060"/>
                <w:sz w:val="20"/>
                <w:szCs w:val="20"/>
              </w:rPr>
              <w:t>2018</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985" w:rsidRPr="007F1985" w:rsidRDefault="007F1985" w:rsidP="007F1985">
            <w:pPr>
              <w:jc w:val="center"/>
              <w:rPr>
                <w:rFonts w:ascii="Arial" w:hAnsi="Arial" w:cs="Arial"/>
                <w:b/>
                <w:bCs/>
                <w:color w:val="002060"/>
                <w:sz w:val="20"/>
                <w:szCs w:val="20"/>
              </w:rPr>
            </w:pPr>
            <w:r w:rsidRPr="007F1985">
              <w:rPr>
                <w:rFonts w:ascii="Arial" w:hAnsi="Arial" w:cs="Arial"/>
                <w:b/>
                <w:bCs/>
                <w:color w:val="002060"/>
                <w:sz w:val="20"/>
                <w:szCs w:val="20"/>
              </w:rPr>
              <w:t>2017</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985" w:rsidRPr="007F1985" w:rsidRDefault="007F1985" w:rsidP="007F1985">
            <w:pPr>
              <w:jc w:val="center"/>
              <w:rPr>
                <w:rFonts w:ascii="Arial" w:hAnsi="Arial" w:cs="Arial"/>
                <w:b/>
                <w:bCs/>
                <w:color w:val="002060"/>
                <w:sz w:val="20"/>
                <w:szCs w:val="20"/>
              </w:rPr>
            </w:pPr>
            <w:r w:rsidRPr="007F1985">
              <w:rPr>
                <w:rFonts w:ascii="Arial" w:hAnsi="Arial" w:cs="Arial"/>
                <w:b/>
                <w:bCs/>
                <w:color w:val="002060"/>
                <w:sz w:val="20"/>
                <w:szCs w:val="20"/>
              </w:rPr>
              <w:t>2016</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985" w:rsidRPr="007F1985" w:rsidRDefault="007F1985" w:rsidP="007F1985">
            <w:pPr>
              <w:jc w:val="center"/>
              <w:rPr>
                <w:rFonts w:ascii="Arial" w:hAnsi="Arial" w:cs="Arial"/>
                <w:b/>
                <w:bCs/>
                <w:color w:val="002060"/>
                <w:sz w:val="20"/>
                <w:szCs w:val="20"/>
              </w:rPr>
            </w:pPr>
            <w:r w:rsidRPr="007F1985">
              <w:rPr>
                <w:rFonts w:ascii="Arial" w:hAnsi="Arial" w:cs="Arial"/>
                <w:b/>
                <w:bCs/>
                <w:color w:val="002060"/>
                <w:sz w:val="20"/>
                <w:szCs w:val="20"/>
              </w:rPr>
              <w:t>2015</w:t>
            </w:r>
          </w:p>
        </w:tc>
      </w:tr>
      <w:tr w:rsidR="007F1985" w:rsidRPr="007F1985" w:rsidTr="007F1985">
        <w:trPr>
          <w:trHeight w:val="293"/>
        </w:trPr>
        <w:tc>
          <w:tcPr>
            <w:tcW w:w="2985" w:type="dxa"/>
            <w:vMerge/>
            <w:tcBorders>
              <w:top w:val="single" w:sz="4" w:space="0" w:color="auto"/>
              <w:left w:val="single" w:sz="4" w:space="0" w:color="auto"/>
              <w:bottom w:val="single" w:sz="4" w:space="0" w:color="000000"/>
              <w:right w:val="single" w:sz="4" w:space="0" w:color="auto"/>
            </w:tcBorders>
            <w:vAlign w:val="center"/>
            <w:hideMark/>
          </w:tcPr>
          <w:p w:rsidR="007F1985" w:rsidRPr="007F1985" w:rsidRDefault="007F1985" w:rsidP="007F1985">
            <w:pPr>
              <w:rPr>
                <w:rFonts w:ascii="Arial" w:hAnsi="Arial" w:cs="Arial"/>
                <w:b/>
                <w:bCs/>
                <w:color w:val="002060"/>
                <w:sz w:val="20"/>
                <w:szCs w:val="20"/>
              </w:rPr>
            </w:pP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7F1985" w:rsidRPr="007F1985" w:rsidRDefault="007F1985" w:rsidP="007F1985">
            <w:pPr>
              <w:rPr>
                <w:rFonts w:ascii="Arial" w:hAnsi="Arial" w:cs="Arial"/>
                <w:b/>
                <w:bCs/>
                <w:color w:val="002060"/>
                <w:sz w:val="20"/>
                <w:szCs w:val="20"/>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7F1985" w:rsidRPr="007F1985" w:rsidRDefault="007F1985" w:rsidP="007F1985">
            <w:pPr>
              <w:rPr>
                <w:rFonts w:ascii="Arial" w:hAnsi="Arial" w:cs="Arial"/>
                <w:b/>
                <w:bCs/>
                <w:color w:val="002060"/>
                <w:sz w:val="20"/>
                <w:szCs w:val="20"/>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7F1985" w:rsidRPr="007F1985" w:rsidRDefault="007F1985" w:rsidP="007F1985">
            <w:pPr>
              <w:rPr>
                <w:rFonts w:ascii="Arial" w:hAnsi="Arial" w:cs="Arial"/>
                <w:b/>
                <w:bCs/>
                <w:color w:val="002060"/>
                <w:sz w:val="20"/>
                <w:szCs w:val="20"/>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7F1985" w:rsidRPr="007F1985" w:rsidRDefault="007F1985" w:rsidP="007F1985">
            <w:pPr>
              <w:rPr>
                <w:rFonts w:ascii="Arial" w:hAnsi="Arial" w:cs="Arial"/>
                <w:b/>
                <w:bCs/>
                <w:color w:val="002060"/>
                <w:sz w:val="20"/>
                <w:szCs w:val="20"/>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7F1985" w:rsidRPr="007F1985" w:rsidRDefault="007F1985" w:rsidP="007F1985">
            <w:pPr>
              <w:rPr>
                <w:rFonts w:ascii="Arial" w:hAnsi="Arial" w:cs="Arial"/>
                <w:b/>
                <w:bCs/>
                <w:color w:val="002060"/>
                <w:sz w:val="20"/>
                <w:szCs w:val="20"/>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7F1985" w:rsidRPr="007F1985" w:rsidRDefault="007F1985" w:rsidP="007F1985">
            <w:pPr>
              <w:rPr>
                <w:rFonts w:ascii="Arial" w:hAnsi="Arial" w:cs="Arial"/>
                <w:b/>
                <w:bCs/>
                <w:color w:val="002060"/>
                <w:sz w:val="20"/>
                <w:szCs w:val="20"/>
              </w:rPr>
            </w:pPr>
          </w:p>
        </w:tc>
      </w:tr>
      <w:tr w:rsidR="007F1985" w:rsidRPr="007F1985" w:rsidTr="007F1985">
        <w:trPr>
          <w:trHeight w:val="281"/>
        </w:trPr>
        <w:tc>
          <w:tcPr>
            <w:tcW w:w="2985" w:type="dxa"/>
            <w:tcBorders>
              <w:top w:val="nil"/>
              <w:left w:val="single" w:sz="4" w:space="0" w:color="auto"/>
              <w:bottom w:val="single" w:sz="4" w:space="0" w:color="auto"/>
              <w:right w:val="single" w:sz="4" w:space="0" w:color="auto"/>
            </w:tcBorders>
            <w:shd w:val="clear" w:color="000000" w:fill="E7E6E6"/>
            <w:noWrap/>
            <w:vAlign w:val="bottom"/>
            <w:hideMark/>
          </w:tcPr>
          <w:p w:rsidR="007F1985" w:rsidRPr="007F1985" w:rsidRDefault="007F1985" w:rsidP="007F1985">
            <w:pPr>
              <w:rPr>
                <w:rFonts w:ascii="Arial" w:hAnsi="Arial" w:cs="Arial"/>
                <w:b/>
                <w:bCs/>
                <w:color w:val="002060"/>
                <w:sz w:val="20"/>
                <w:szCs w:val="20"/>
              </w:rPr>
            </w:pPr>
            <w:r w:rsidRPr="007F1985">
              <w:rPr>
                <w:rFonts w:ascii="Arial" w:hAnsi="Arial" w:cs="Arial"/>
                <w:b/>
                <w:bCs/>
                <w:color w:val="002060"/>
                <w:sz w:val="20"/>
                <w:szCs w:val="20"/>
              </w:rPr>
              <w:t>RÀTIOS DE LIQUIDITAT</w:t>
            </w:r>
          </w:p>
        </w:tc>
        <w:tc>
          <w:tcPr>
            <w:tcW w:w="1325" w:type="dxa"/>
            <w:tcBorders>
              <w:top w:val="nil"/>
              <w:left w:val="nil"/>
              <w:bottom w:val="single" w:sz="4" w:space="0" w:color="auto"/>
              <w:right w:val="single" w:sz="4" w:space="0" w:color="auto"/>
            </w:tcBorders>
            <w:shd w:val="clear" w:color="000000" w:fill="E7E6E6"/>
            <w:noWrap/>
            <w:vAlign w:val="bottom"/>
            <w:hideMark/>
          </w:tcPr>
          <w:p w:rsidR="007F1985" w:rsidRPr="007F1985" w:rsidRDefault="007F1985" w:rsidP="007F1985">
            <w:pPr>
              <w:rPr>
                <w:rFonts w:ascii="Arial" w:hAnsi="Arial" w:cs="Arial"/>
                <w:b/>
                <w:bCs/>
                <w:color w:val="002060"/>
                <w:sz w:val="20"/>
                <w:szCs w:val="20"/>
              </w:rPr>
            </w:pPr>
            <w:r w:rsidRPr="007F1985">
              <w:rPr>
                <w:rFonts w:ascii="Arial" w:hAnsi="Arial" w:cs="Arial"/>
                <w:b/>
                <w:bCs/>
                <w:color w:val="002060"/>
                <w:sz w:val="20"/>
                <w:szCs w:val="20"/>
              </w:rPr>
              <w:t> </w:t>
            </w:r>
          </w:p>
        </w:tc>
        <w:tc>
          <w:tcPr>
            <w:tcW w:w="946" w:type="dxa"/>
            <w:tcBorders>
              <w:top w:val="nil"/>
              <w:left w:val="nil"/>
              <w:bottom w:val="single" w:sz="4" w:space="0" w:color="auto"/>
              <w:right w:val="single" w:sz="4" w:space="0" w:color="auto"/>
            </w:tcBorders>
            <w:shd w:val="clear" w:color="000000" w:fill="E7E6E6"/>
            <w:noWrap/>
            <w:vAlign w:val="bottom"/>
            <w:hideMark/>
          </w:tcPr>
          <w:p w:rsidR="007F1985" w:rsidRPr="007F1985" w:rsidRDefault="007F1985" w:rsidP="007F1985">
            <w:pPr>
              <w:rPr>
                <w:rFonts w:ascii="Arial" w:hAnsi="Arial" w:cs="Arial"/>
                <w:b/>
                <w:bCs/>
                <w:color w:val="002060"/>
                <w:sz w:val="20"/>
                <w:szCs w:val="20"/>
              </w:rPr>
            </w:pPr>
            <w:r w:rsidRPr="007F1985">
              <w:rPr>
                <w:rFonts w:ascii="Arial" w:hAnsi="Arial" w:cs="Arial"/>
                <w:b/>
                <w:bCs/>
                <w:color w:val="002060"/>
                <w:sz w:val="20"/>
                <w:szCs w:val="20"/>
              </w:rPr>
              <w:t> </w:t>
            </w:r>
          </w:p>
        </w:tc>
        <w:tc>
          <w:tcPr>
            <w:tcW w:w="946" w:type="dxa"/>
            <w:tcBorders>
              <w:top w:val="nil"/>
              <w:left w:val="nil"/>
              <w:bottom w:val="single" w:sz="4" w:space="0" w:color="auto"/>
              <w:right w:val="single" w:sz="4" w:space="0" w:color="auto"/>
            </w:tcBorders>
            <w:shd w:val="clear" w:color="000000" w:fill="E7E6E6"/>
            <w:noWrap/>
            <w:vAlign w:val="bottom"/>
            <w:hideMark/>
          </w:tcPr>
          <w:p w:rsidR="007F1985" w:rsidRPr="007F1985" w:rsidRDefault="007F1985" w:rsidP="007F1985">
            <w:pPr>
              <w:rPr>
                <w:rFonts w:ascii="Arial" w:hAnsi="Arial" w:cs="Arial"/>
                <w:b/>
                <w:bCs/>
                <w:color w:val="002060"/>
                <w:sz w:val="20"/>
                <w:szCs w:val="20"/>
              </w:rPr>
            </w:pPr>
            <w:r w:rsidRPr="007F1985">
              <w:rPr>
                <w:rFonts w:ascii="Arial" w:hAnsi="Arial" w:cs="Arial"/>
                <w:b/>
                <w:bCs/>
                <w:color w:val="002060"/>
                <w:sz w:val="20"/>
                <w:szCs w:val="20"/>
              </w:rPr>
              <w:t> </w:t>
            </w:r>
          </w:p>
        </w:tc>
        <w:tc>
          <w:tcPr>
            <w:tcW w:w="946" w:type="dxa"/>
            <w:tcBorders>
              <w:top w:val="nil"/>
              <w:left w:val="nil"/>
              <w:bottom w:val="single" w:sz="4" w:space="0" w:color="auto"/>
              <w:right w:val="single" w:sz="4" w:space="0" w:color="auto"/>
            </w:tcBorders>
            <w:shd w:val="clear" w:color="000000" w:fill="E7E6E6"/>
            <w:noWrap/>
            <w:vAlign w:val="bottom"/>
            <w:hideMark/>
          </w:tcPr>
          <w:p w:rsidR="007F1985" w:rsidRPr="007F1985" w:rsidRDefault="007F1985" w:rsidP="007F1985">
            <w:pPr>
              <w:rPr>
                <w:rFonts w:ascii="Arial" w:hAnsi="Arial" w:cs="Arial"/>
                <w:b/>
                <w:bCs/>
                <w:color w:val="002060"/>
                <w:sz w:val="20"/>
                <w:szCs w:val="20"/>
              </w:rPr>
            </w:pPr>
            <w:r w:rsidRPr="007F1985">
              <w:rPr>
                <w:rFonts w:ascii="Arial" w:hAnsi="Arial" w:cs="Arial"/>
                <w:b/>
                <w:bCs/>
                <w:color w:val="002060"/>
                <w:sz w:val="20"/>
                <w:szCs w:val="20"/>
              </w:rPr>
              <w:t> </w:t>
            </w:r>
          </w:p>
        </w:tc>
        <w:tc>
          <w:tcPr>
            <w:tcW w:w="946" w:type="dxa"/>
            <w:tcBorders>
              <w:top w:val="nil"/>
              <w:left w:val="nil"/>
              <w:bottom w:val="single" w:sz="4" w:space="0" w:color="auto"/>
              <w:right w:val="single" w:sz="4" w:space="0" w:color="auto"/>
            </w:tcBorders>
            <w:shd w:val="clear" w:color="000000" w:fill="E7E6E6"/>
            <w:noWrap/>
            <w:vAlign w:val="bottom"/>
            <w:hideMark/>
          </w:tcPr>
          <w:p w:rsidR="007F1985" w:rsidRPr="007F1985" w:rsidRDefault="007F1985" w:rsidP="007F1985">
            <w:pPr>
              <w:rPr>
                <w:rFonts w:ascii="Arial" w:hAnsi="Arial" w:cs="Arial"/>
                <w:b/>
                <w:bCs/>
                <w:color w:val="002060"/>
                <w:sz w:val="20"/>
                <w:szCs w:val="20"/>
              </w:rPr>
            </w:pPr>
            <w:r w:rsidRPr="007F1985">
              <w:rPr>
                <w:rFonts w:ascii="Arial" w:hAnsi="Arial" w:cs="Arial"/>
                <w:b/>
                <w:bCs/>
                <w:color w:val="002060"/>
                <w:sz w:val="20"/>
                <w:szCs w:val="20"/>
              </w:rPr>
              <w:t> </w:t>
            </w:r>
          </w:p>
        </w:tc>
        <w:tc>
          <w:tcPr>
            <w:tcW w:w="946" w:type="dxa"/>
            <w:tcBorders>
              <w:top w:val="nil"/>
              <w:left w:val="nil"/>
              <w:bottom w:val="single" w:sz="4" w:space="0" w:color="auto"/>
              <w:right w:val="single" w:sz="4" w:space="0" w:color="auto"/>
            </w:tcBorders>
            <w:shd w:val="clear" w:color="000000" w:fill="E7E6E6"/>
            <w:noWrap/>
            <w:vAlign w:val="bottom"/>
            <w:hideMark/>
          </w:tcPr>
          <w:p w:rsidR="007F1985" w:rsidRPr="007F1985" w:rsidRDefault="007F1985" w:rsidP="007F1985">
            <w:pPr>
              <w:rPr>
                <w:rFonts w:ascii="Arial" w:hAnsi="Arial" w:cs="Arial"/>
                <w:b/>
                <w:bCs/>
                <w:color w:val="002060"/>
                <w:sz w:val="20"/>
                <w:szCs w:val="20"/>
              </w:rPr>
            </w:pPr>
            <w:r w:rsidRPr="007F1985">
              <w:rPr>
                <w:rFonts w:ascii="Arial" w:hAnsi="Arial" w:cs="Arial"/>
                <w:b/>
                <w:bCs/>
                <w:color w:val="002060"/>
                <w:sz w:val="20"/>
                <w:szCs w:val="20"/>
              </w:rPr>
              <w:t> </w:t>
            </w:r>
          </w:p>
        </w:tc>
      </w:tr>
      <w:tr w:rsidR="007F1985" w:rsidRPr="007F1985" w:rsidTr="007F1985">
        <w:trPr>
          <w:trHeight w:val="281"/>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Ràtio de liquiditat</w:t>
            </w:r>
          </w:p>
        </w:tc>
        <w:tc>
          <w:tcPr>
            <w:tcW w:w="1325"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1</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1,53</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1,60</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1,60</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1,66</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1,84</w:t>
            </w:r>
          </w:p>
        </w:tc>
      </w:tr>
      <w:tr w:rsidR="007F1985" w:rsidRPr="007F1985" w:rsidTr="007F1985">
        <w:trPr>
          <w:trHeight w:val="281"/>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Ràtio de tresoreria</w:t>
            </w:r>
          </w:p>
        </w:tc>
        <w:tc>
          <w:tcPr>
            <w:tcW w:w="1325"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0,2 - 0,3</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0,81</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0,62</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0,60</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0,67</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0,96</w:t>
            </w:r>
          </w:p>
        </w:tc>
      </w:tr>
      <w:tr w:rsidR="007F1985" w:rsidRPr="007F1985" w:rsidTr="007F1985">
        <w:trPr>
          <w:trHeight w:val="281"/>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Ràtio del fons de maniobra</w:t>
            </w:r>
          </w:p>
        </w:tc>
        <w:tc>
          <w:tcPr>
            <w:tcW w:w="1325"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1,5 - 2,0</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2,48</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2,61</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2,43</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2,38</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2,55</w:t>
            </w:r>
          </w:p>
        </w:tc>
      </w:tr>
      <w:tr w:rsidR="007F1985" w:rsidRPr="007F1985" w:rsidTr="007F1985">
        <w:trPr>
          <w:trHeight w:val="281"/>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Regla d'or</w:t>
            </w:r>
          </w:p>
        </w:tc>
        <w:tc>
          <w:tcPr>
            <w:tcW w:w="1325"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&gt;1</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1,46</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1,48</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1,54</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1,63</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1,89</w:t>
            </w:r>
          </w:p>
        </w:tc>
      </w:tr>
      <w:tr w:rsidR="007F1985" w:rsidRPr="007F1985" w:rsidTr="007F1985">
        <w:trPr>
          <w:trHeight w:val="281"/>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 </w:t>
            </w:r>
          </w:p>
        </w:tc>
        <w:tc>
          <w:tcPr>
            <w:tcW w:w="1325"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 </w:t>
            </w:r>
          </w:p>
        </w:tc>
      </w:tr>
      <w:tr w:rsidR="007F1985" w:rsidRPr="007F1985" w:rsidTr="007F1985">
        <w:trPr>
          <w:trHeight w:val="281"/>
        </w:trPr>
        <w:tc>
          <w:tcPr>
            <w:tcW w:w="2985" w:type="dxa"/>
            <w:tcBorders>
              <w:top w:val="nil"/>
              <w:left w:val="single" w:sz="4" w:space="0" w:color="auto"/>
              <w:bottom w:val="single" w:sz="4" w:space="0" w:color="auto"/>
              <w:right w:val="single" w:sz="4" w:space="0" w:color="auto"/>
            </w:tcBorders>
            <w:shd w:val="clear" w:color="000000" w:fill="E7E6E6"/>
            <w:noWrap/>
            <w:vAlign w:val="bottom"/>
            <w:hideMark/>
          </w:tcPr>
          <w:p w:rsidR="007F1985" w:rsidRPr="007F1985" w:rsidRDefault="007F1985" w:rsidP="007F1985">
            <w:pPr>
              <w:rPr>
                <w:rFonts w:ascii="Arial" w:hAnsi="Arial" w:cs="Arial"/>
                <w:b/>
                <w:bCs/>
                <w:color w:val="002060"/>
                <w:sz w:val="20"/>
                <w:szCs w:val="20"/>
              </w:rPr>
            </w:pPr>
            <w:r w:rsidRPr="007F1985">
              <w:rPr>
                <w:rFonts w:ascii="Arial" w:hAnsi="Arial" w:cs="Arial"/>
                <w:b/>
                <w:bCs/>
                <w:color w:val="002060"/>
                <w:sz w:val="20"/>
                <w:szCs w:val="20"/>
              </w:rPr>
              <w:t>RÀTIOS D'ENDEUTAMENT</w:t>
            </w:r>
          </w:p>
        </w:tc>
        <w:tc>
          <w:tcPr>
            <w:tcW w:w="1325" w:type="dxa"/>
            <w:tcBorders>
              <w:top w:val="nil"/>
              <w:left w:val="nil"/>
              <w:bottom w:val="single" w:sz="4" w:space="0" w:color="auto"/>
              <w:right w:val="single" w:sz="4" w:space="0" w:color="auto"/>
            </w:tcBorders>
            <w:shd w:val="clear" w:color="000000" w:fill="E7E6E6"/>
            <w:noWrap/>
            <w:vAlign w:val="bottom"/>
            <w:hideMark/>
          </w:tcPr>
          <w:p w:rsidR="007F1985" w:rsidRPr="007F1985" w:rsidRDefault="007F1985" w:rsidP="007F1985">
            <w:pPr>
              <w:rPr>
                <w:rFonts w:ascii="Arial" w:hAnsi="Arial" w:cs="Arial"/>
                <w:b/>
                <w:bCs/>
                <w:color w:val="002060"/>
                <w:sz w:val="20"/>
                <w:szCs w:val="20"/>
              </w:rPr>
            </w:pPr>
            <w:r w:rsidRPr="007F1985">
              <w:rPr>
                <w:rFonts w:ascii="Arial" w:hAnsi="Arial" w:cs="Arial"/>
                <w:b/>
                <w:bCs/>
                <w:color w:val="002060"/>
                <w:sz w:val="20"/>
                <w:szCs w:val="20"/>
              </w:rPr>
              <w:t> </w:t>
            </w:r>
          </w:p>
        </w:tc>
        <w:tc>
          <w:tcPr>
            <w:tcW w:w="946" w:type="dxa"/>
            <w:tcBorders>
              <w:top w:val="nil"/>
              <w:left w:val="nil"/>
              <w:bottom w:val="single" w:sz="4" w:space="0" w:color="auto"/>
              <w:right w:val="single" w:sz="4" w:space="0" w:color="auto"/>
            </w:tcBorders>
            <w:shd w:val="clear" w:color="000000" w:fill="E7E6E6"/>
            <w:noWrap/>
            <w:vAlign w:val="bottom"/>
            <w:hideMark/>
          </w:tcPr>
          <w:p w:rsidR="007F1985" w:rsidRPr="007F1985" w:rsidRDefault="007F1985" w:rsidP="007F1985">
            <w:pPr>
              <w:rPr>
                <w:rFonts w:ascii="Arial" w:hAnsi="Arial" w:cs="Arial"/>
                <w:b/>
                <w:bCs/>
                <w:color w:val="002060"/>
                <w:sz w:val="20"/>
                <w:szCs w:val="20"/>
              </w:rPr>
            </w:pPr>
            <w:r w:rsidRPr="007F1985">
              <w:rPr>
                <w:rFonts w:ascii="Arial" w:hAnsi="Arial" w:cs="Arial"/>
                <w:b/>
                <w:bCs/>
                <w:color w:val="002060"/>
                <w:sz w:val="20"/>
                <w:szCs w:val="20"/>
              </w:rPr>
              <w:t> </w:t>
            </w:r>
          </w:p>
        </w:tc>
        <w:tc>
          <w:tcPr>
            <w:tcW w:w="946" w:type="dxa"/>
            <w:tcBorders>
              <w:top w:val="nil"/>
              <w:left w:val="nil"/>
              <w:bottom w:val="single" w:sz="4" w:space="0" w:color="auto"/>
              <w:right w:val="single" w:sz="4" w:space="0" w:color="auto"/>
            </w:tcBorders>
            <w:shd w:val="clear" w:color="000000" w:fill="E7E6E6"/>
            <w:noWrap/>
            <w:vAlign w:val="bottom"/>
            <w:hideMark/>
          </w:tcPr>
          <w:p w:rsidR="007F1985" w:rsidRPr="007F1985" w:rsidRDefault="007F1985" w:rsidP="007F1985">
            <w:pPr>
              <w:rPr>
                <w:rFonts w:ascii="Arial" w:hAnsi="Arial" w:cs="Arial"/>
                <w:b/>
                <w:bCs/>
                <w:color w:val="002060"/>
                <w:sz w:val="20"/>
                <w:szCs w:val="20"/>
              </w:rPr>
            </w:pPr>
            <w:r w:rsidRPr="007F1985">
              <w:rPr>
                <w:rFonts w:ascii="Arial" w:hAnsi="Arial" w:cs="Arial"/>
                <w:b/>
                <w:bCs/>
                <w:color w:val="002060"/>
                <w:sz w:val="20"/>
                <w:szCs w:val="20"/>
              </w:rPr>
              <w:t> </w:t>
            </w:r>
          </w:p>
        </w:tc>
        <w:tc>
          <w:tcPr>
            <w:tcW w:w="946" w:type="dxa"/>
            <w:tcBorders>
              <w:top w:val="nil"/>
              <w:left w:val="nil"/>
              <w:bottom w:val="single" w:sz="4" w:space="0" w:color="auto"/>
              <w:right w:val="single" w:sz="4" w:space="0" w:color="auto"/>
            </w:tcBorders>
            <w:shd w:val="clear" w:color="000000" w:fill="E7E6E6"/>
            <w:noWrap/>
            <w:vAlign w:val="bottom"/>
            <w:hideMark/>
          </w:tcPr>
          <w:p w:rsidR="007F1985" w:rsidRPr="007F1985" w:rsidRDefault="007F1985" w:rsidP="007F1985">
            <w:pPr>
              <w:rPr>
                <w:rFonts w:ascii="Arial" w:hAnsi="Arial" w:cs="Arial"/>
                <w:b/>
                <w:bCs/>
                <w:color w:val="002060"/>
                <w:sz w:val="20"/>
                <w:szCs w:val="20"/>
              </w:rPr>
            </w:pPr>
            <w:r w:rsidRPr="007F1985">
              <w:rPr>
                <w:rFonts w:ascii="Arial" w:hAnsi="Arial" w:cs="Arial"/>
                <w:b/>
                <w:bCs/>
                <w:color w:val="002060"/>
                <w:sz w:val="20"/>
                <w:szCs w:val="20"/>
              </w:rPr>
              <w:t> </w:t>
            </w:r>
          </w:p>
        </w:tc>
        <w:tc>
          <w:tcPr>
            <w:tcW w:w="946" w:type="dxa"/>
            <w:tcBorders>
              <w:top w:val="nil"/>
              <w:left w:val="nil"/>
              <w:bottom w:val="single" w:sz="4" w:space="0" w:color="auto"/>
              <w:right w:val="single" w:sz="4" w:space="0" w:color="auto"/>
            </w:tcBorders>
            <w:shd w:val="clear" w:color="000000" w:fill="E7E6E6"/>
            <w:noWrap/>
            <w:vAlign w:val="bottom"/>
            <w:hideMark/>
          </w:tcPr>
          <w:p w:rsidR="007F1985" w:rsidRPr="007F1985" w:rsidRDefault="007F1985" w:rsidP="007F1985">
            <w:pPr>
              <w:rPr>
                <w:rFonts w:ascii="Arial" w:hAnsi="Arial" w:cs="Arial"/>
                <w:b/>
                <w:bCs/>
                <w:color w:val="002060"/>
                <w:sz w:val="20"/>
                <w:szCs w:val="20"/>
              </w:rPr>
            </w:pPr>
            <w:r w:rsidRPr="007F1985">
              <w:rPr>
                <w:rFonts w:ascii="Arial" w:hAnsi="Arial" w:cs="Arial"/>
                <w:b/>
                <w:bCs/>
                <w:color w:val="002060"/>
                <w:sz w:val="20"/>
                <w:szCs w:val="20"/>
              </w:rPr>
              <w:t> </w:t>
            </w:r>
          </w:p>
        </w:tc>
        <w:tc>
          <w:tcPr>
            <w:tcW w:w="946" w:type="dxa"/>
            <w:tcBorders>
              <w:top w:val="nil"/>
              <w:left w:val="nil"/>
              <w:bottom w:val="single" w:sz="4" w:space="0" w:color="auto"/>
              <w:right w:val="single" w:sz="4" w:space="0" w:color="auto"/>
            </w:tcBorders>
            <w:shd w:val="clear" w:color="000000" w:fill="E7E6E6"/>
            <w:noWrap/>
            <w:vAlign w:val="bottom"/>
            <w:hideMark/>
          </w:tcPr>
          <w:p w:rsidR="007F1985" w:rsidRPr="007F1985" w:rsidRDefault="007F1985" w:rsidP="007F1985">
            <w:pPr>
              <w:rPr>
                <w:rFonts w:ascii="Arial" w:hAnsi="Arial" w:cs="Arial"/>
                <w:b/>
                <w:bCs/>
                <w:color w:val="002060"/>
                <w:sz w:val="20"/>
                <w:szCs w:val="20"/>
              </w:rPr>
            </w:pPr>
            <w:r w:rsidRPr="007F1985">
              <w:rPr>
                <w:rFonts w:ascii="Arial" w:hAnsi="Arial" w:cs="Arial"/>
                <w:b/>
                <w:bCs/>
                <w:color w:val="002060"/>
                <w:sz w:val="20"/>
                <w:szCs w:val="20"/>
              </w:rPr>
              <w:t> </w:t>
            </w:r>
          </w:p>
        </w:tc>
      </w:tr>
      <w:tr w:rsidR="007F1985" w:rsidRPr="007F1985" w:rsidTr="007F1985">
        <w:trPr>
          <w:trHeight w:val="281"/>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Ràtio d'endeutament</w:t>
            </w:r>
          </w:p>
        </w:tc>
        <w:tc>
          <w:tcPr>
            <w:tcW w:w="1325"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1</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0,35</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0,27</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0,29</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0,34</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0,37</w:t>
            </w:r>
          </w:p>
        </w:tc>
      </w:tr>
      <w:tr w:rsidR="007F1985" w:rsidRPr="007F1985" w:rsidTr="007F1985">
        <w:trPr>
          <w:trHeight w:val="281"/>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Ràtio de recursos permanents</w:t>
            </w:r>
          </w:p>
        </w:tc>
        <w:tc>
          <w:tcPr>
            <w:tcW w:w="1325"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0,82</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0,83</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0,80</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0,78</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0,77</w:t>
            </w:r>
          </w:p>
        </w:tc>
      </w:tr>
      <w:tr w:rsidR="007F1985" w:rsidRPr="007F1985" w:rsidTr="007F1985">
        <w:trPr>
          <w:trHeight w:val="281"/>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Ràtio de qualitat del deute</w:t>
            </w:r>
          </w:p>
        </w:tc>
        <w:tc>
          <w:tcPr>
            <w:tcW w:w="1325"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&lt;1</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2,14</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3,53</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7,10</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6,46</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6,07</w:t>
            </w:r>
          </w:p>
        </w:tc>
      </w:tr>
      <w:tr w:rsidR="007F1985" w:rsidRPr="007F1985" w:rsidTr="007F1985">
        <w:trPr>
          <w:trHeight w:val="281"/>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Ràtio de garantia</w:t>
            </w:r>
          </w:p>
        </w:tc>
        <w:tc>
          <w:tcPr>
            <w:tcW w:w="1325"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&gt;1,5</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3,89</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4,64</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4,46</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3,98</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3,69</w:t>
            </w:r>
          </w:p>
        </w:tc>
      </w:tr>
      <w:tr w:rsidR="007F1985" w:rsidRPr="007F1985" w:rsidTr="007F1985">
        <w:trPr>
          <w:trHeight w:val="281"/>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Ràtio de fermesa o consistència</w:t>
            </w:r>
          </w:p>
        </w:tc>
        <w:tc>
          <w:tcPr>
            <w:tcW w:w="1325"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2</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6,91</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11,80</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18,87</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14,26</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10,59</w:t>
            </w:r>
          </w:p>
        </w:tc>
      </w:tr>
      <w:tr w:rsidR="007F1985" w:rsidRPr="007F1985" w:rsidTr="007F1985">
        <w:trPr>
          <w:trHeight w:val="281"/>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Ràtio d'estabilitat</w:t>
            </w:r>
          </w:p>
        </w:tc>
        <w:tc>
          <w:tcPr>
            <w:tcW w:w="1325"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0,5 - 1,0</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0,76</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0,72</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0,67</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0,64</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0,56</w:t>
            </w:r>
          </w:p>
        </w:tc>
      </w:tr>
      <w:tr w:rsidR="007F1985" w:rsidRPr="007F1985" w:rsidTr="007F1985">
        <w:trPr>
          <w:trHeight w:val="281"/>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 </w:t>
            </w:r>
          </w:p>
        </w:tc>
        <w:tc>
          <w:tcPr>
            <w:tcW w:w="1325"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 </w:t>
            </w:r>
          </w:p>
        </w:tc>
      </w:tr>
      <w:tr w:rsidR="007F1985" w:rsidRPr="007F1985" w:rsidTr="007F1985">
        <w:trPr>
          <w:trHeight w:val="281"/>
        </w:trPr>
        <w:tc>
          <w:tcPr>
            <w:tcW w:w="2985" w:type="dxa"/>
            <w:tcBorders>
              <w:top w:val="nil"/>
              <w:left w:val="single" w:sz="4" w:space="0" w:color="auto"/>
              <w:bottom w:val="single" w:sz="4" w:space="0" w:color="auto"/>
              <w:right w:val="single" w:sz="4" w:space="0" w:color="auto"/>
            </w:tcBorders>
            <w:shd w:val="clear" w:color="000000" w:fill="E7E6E6"/>
            <w:noWrap/>
            <w:vAlign w:val="bottom"/>
            <w:hideMark/>
          </w:tcPr>
          <w:p w:rsidR="007F1985" w:rsidRPr="007F1985" w:rsidRDefault="007F1985" w:rsidP="007F1985">
            <w:pPr>
              <w:rPr>
                <w:rFonts w:ascii="Arial" w:hAnsi="Arial" w:cs="Arial"/>
                <w:b/>
                <w:bCs/>
                <w:color w:val="002060"/>
                <w:sz w:val="20"/>
                <w:szCs w:val="20"/>
              </w:rPr>
            </w:pPr>
            <w:r w:rsidRPr="007F1985">
              <w:rPr>
                <w:rFonts w:ascii="Arial" w:hAnsi="Arial" w:cs="Arial"/>
                <w:b/>
                <w:bCs/>
                <w:color w:val="002060"/>
                <w:sz w:val="20"/>
                <w:szCs w:val="20"/>
              </w:rPr>
              <w:t>FONS DE MANIOBRA</w:t>
            </w:r>
          </w:p>
        </w:tc>
        <w:tc>
          <w:tcPr>
            <w:tcW w:w="1325" w:type="dxa"/>
            <w:tcBorders>
              <w:top w:val="nil"/>
              <w:left w:val="nil"/>
              <w:bottom w:val="single" w:sz="4" w:space="0" w:color="auto"/>
              <w:right w:val="single" w:sz="4" w:space="0" w:color="auto"/>
            </w:tcBorders>
            <w:shd w:val="clear" w:color="000000" w:fill="E7E6E6"/>
            <w:noWrap/>
            <w:vAlign w:val="bottom"/>
            <w:hideMark/>
          </w:tcPr>
          <w:p w:rsidR="007F1985" w:rsidRPr="007F1985" w:rsidRDefault="007F1985" w:rsidP="007F1985">
            <w:pPr>
              <w:rPr>
                <w:rFonts w:ascii="Arial" w:hAnsi="Arial" w:cs="Arial"/>
                <w:b/>
                <w:bCs/>
                <w:color w:val="002060"/>
                <w:sz w:val="20"/>
                <w:szCs w:val="20"/>
              </w:rPr>
            </w:pPr>
            <w:r w:rsidRPr="007F1985">
              <w:rPr>
                <w:rFonts w:ascii="Arial" w:hAnsi="Arial" w:cs="Arial"/>
                <w:b/>
                <w:bCs/>
                <w:color w:val="002060"/>
                <w:sz w:val="20"/>
                <w:szCs w:val="20"/>
              </w:rPr>
              <w:t> </w:t>
            </w:r>
          </w:p>
        </w:tc>
        <w:tc>
          <w:tcPr>
            <w:tcW w:w="946" w:type="dxa"/>
            <w:tcBorders>
              <w:top w:val="nil"/>
              <w:left w:val="nil"/>
              <w:bottom w:val="single" w:sz="4" w:space="0" w:color="auto"/>
              <w:right w:val="single" w:sz="4" w:space="0" w:color="auto"/>
            </w:tcBorders>
            <w:shd w:val="clear" w:color="000000" w:fill="E7E6E6"/>
            <w:noWrap/>
            <w:vAlign w:val="bottom"/>
            <w:hideMark/>
          </w:tcPr>
          <w:p w:rsidR="007F1985" w:rsidRPr="007F1985" w:rsidRDefault="007F1985" w:rsidP="007F1985">
            <w:pPr>
              <w:rPr>
                <w:rFonts w:ascii="Arial" w:hAnsi="Arial" w:cs="Arial"/>
                <w:b/>
                <w:bCs/>
                <w:color w:val="002060"/>
                <w:sz w:val="20"/>
                <w:szCs w:val="20"/>
              </w:rPr>
            </w:pPr>
            <w:r w:rsidRPr="007F1985">
              <w:rPr>
                <w:rFonts w:ascii="Arial" w:hAnsi="Arial" w:cs="Arial"/>
                <w:b/>
                <w:bCs/>
                <w:color w:val="002060"/>
                <w:sz w:val="20"/>
                <w:szCs w:val="20"/>
              </w:rPr>
              <w:t> </w:t>
            </w:r>
          </w:p>
        </w:tc>
        <w:tc>
          <w:tcPr>
            <w:tcW w:w="946" w:type="dxa"/>
            <w:tcBorders>
              <w:top w:val="nil"/>
              <w:left w:val="nil"/>
              <w:bottom w:val="single" w:sz="4" w:space="0" w:color="auto"/>
              <w:right w:val="single" w:sz="4" w:space="0" w:color="auto"/>
            </w:tcBorders>
            <w:shd w:val="clear" w:color="000000" w:fill="E7E6E6"/>
            <w:noWrap/>
            <w:vAlign w:val="bottom"/>
            <w:hideMark/>
          </w:tcPr>
          <w:p w:rsidR="007F1985" w:rsidRPr="007F1985" w:rsidRDefault="007F1985" w:rsidP="007F1985">
            <w:pPr>
              <w:rPr>
                <w:rFonts w:ascii="Arial" w:hAnsi="Arial" w:cs="Arial"/>
                <w:b/>
                <w:bCs/>
                <w:color w:val="002060"/>
                <w:sz w:val="20"/>
                <w:szCs w:val="20"/>
              </w:rPr>
            </w:pPr>
            <w:r w:rsidRPr="007F1985">
              <w:rPr>
                <w:rFonts w:ascii="Arial" w:hAnsi="Arial" w:cs="Arial"/>
                <w:b/>
                <w:bCs/>
                <w:color w:val="002060"/>
                <w:sz w:val="20"/>
                <w:szCs w:val="20"/>
              </w:rPr>
              <w:t> </w:t>
            </w:r>
          </w:p>
        </w:tc>
        <w:tc>
          <w:tcPr>
            <w:tcW w:w="946" w:type="dxa"/>
            <w:tcBorders>
              <w:top w:val="nil"/>
              <w:left w:val="nil"/>
              <w:bottom w:val="single" w:sz="4" w:space="0" w:color="auto"/>
              <w:right w:val="single" w:sz="4" w:space="0" w:color="auto"/>
            </w:tcBorders>
            <w:shd w:val="clear" w:color="000000" w:fill="E7E6E6"/>
            <w:noWrap/>
            <w:vAlign w:val="bottom"/>
            <w:hideMark/>
          </w:tcPr>
          <w:p w:rsidR="007F1985" w:rsidRPr="007F1985" w:rsidRDefault="007F1985" w:rsidP="007F1985">
            <w:pPr>
              <w:rPr>
                <w:rFonts w:ascii="Arial" w:hAnsi="Arial" w:cs="Arial"/>
                <w:b/>
                <w:bCs/>
                <w:color w:val="002060"/>
                <w:sz w:val="20"/>
                <w:szCs w:val="20"/>
              </w:rPr>
            </w:pPr>
            <w:r w:rsidRPr="007F1985">
              <w:rPr>
                <w:rFonts w:ascii="Arial" w:hAnsi="Arial" w:cs="Arial"/>
                <w:b/>
                <w:bCs/>
                <w:color w:val="002060"/>
                <w:sz w:val="20"/>
                <w:szCs w:val="20"/>
              </w:rPr>
              <w:t> </w:t>
            </w:r>
          </w:p>
        </w:tc>
        <w:tc>
          <w:tcPr>
            <w:tcW w:w="946" w:type="dxa"/>
            <w:tcBorders>
              <w:top w:val="nil"/>
              <w:left w:val="nil"/>
              <w:bottom w:val="single" w:sz="4" w:space="0" w:color="auto"/>
              <w:right w:val="single" w:sz="4" w:space="0" w:color="auto"/>
            </w:tcBorders>
            <w:shd w:val="clear" w:color="000000" w:fill="E7E6E6"/>
            <w:noWrap/>
            <w:vAlign w:val="bottom"/>
            <w:hideMark/>
          </w:tcPr>
          <w:p w:rsidR="007F1985" w:rsidRPr="007F1985" w:rsidRDefault="007F1985" w:rsidP="007F1985">
            <w:pPr>
              <w:rPr>
                <w:rFonts w:ascii="Arial" w:hAnsi="Arial" w:cs="Arial"/>
                <w:b/>
                <w:bCs/>
                <w:color w:val="002060"/>
                <w:sz w:val="20"/>
                <w:szCs w:val="20"/>
              </w:rPr>
            </w:pPr>
            <w:r w:rsidRPr="007F1985">
              <w:rPr>
                <w:rFonts w:ascii="Arial" w:hAnsi="Arial" w:cs="Arial"/>
                <w:b/>
                <w:bCs/>
                <w:color w:val="002060"/>
                <w:sz w:val="20"/>
                <w:szCs w:val="20"/>
              </w:rPr>
              <w:t> </w:t>
            </w:r>
          </w:p>
        </w:tc>
        <w:tc>
          <w:tcPr>
            <w:tcW w:w="946" w:type="dxa"/>
            <w:tcBorders>
              <w:top w:val="nil"/>
              <w:left w:val="nil"/>
              <w:bottom w:val="single" w:sz="4" w:space="0" w:color="auto"/>
              <w:right w:val="single" w:sz="4" w:space="0" w:color="auto"/>
            </w:tcBorders>
            <w:shd w:val="clear" w:color="000000" w:fill="E7E6E6"/>
            <w:noWrap/>
            <w:vAlign w:val="bottom"/>
            <w:hideMark/>
          </w:tcPr>
          <w:p w:rsidR="007F1985" w:rsidRPr="007F1985" w:rsidRDefault="007F1985" w:rsidP="007F1985">
            <w:pPr>
              <w:rPr>
                <w:rFonts w:ascii="Arial" w:hAnsi="Arial" w:cs="Arial"/>
                <w:b/>
                <w:bCs/>
                <w:color w:val="002060"/>
                <w:sz w:val="20"/>
                <w:szCs w:val="20"/>
              </w:rPr>
            </w:pPr>
            <w:r w:rsidRPr="007F1985">
              <w:rPr>
                <w:rFonts w:ascii="Arial" w:hAnsi="Arial" w:cs="Arial"/>
                <w:b/>
                <w:bCs/>
                <w:color w:val="002060"/>
                <w:sz w:val="20"/>
                <w:szCs w:val="20"/>
              </w:rPr>
              <w:t> </w:t>
            </w:r>
          </w:p>
        </w:tc>
      </w:tr>
      <w:tr w:rsidR="007F1985" w:rsidRPr="007F1985" w:rsidTr="007F1985">
        <w:trPr>
          <w:trHeight w:val="281"/>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Actiu corrent - Passiu corrent</w:t>
            </w:r>
          </w:p>
        </w:tc>
        <w:tc>
          <w:tcPr>
            <w:tcW w:w="1325"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85.222</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72.423</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67.276</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65.721</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69.336</w:t>
            </w:r>
          </w:p>
        </w:tc>
      </w:tr>
      <w:tr w:rsidR="007F1985" w:rsidRPr="007F1985" w:rsidTr="007F1985">
        <w:trPr>
          <w:trHeight w:val="281"/>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Recursos permanents - Actiu no corrent</w:t>
            </w:r>
          </w:p>
        </w:tc>
        <w:tc>
          <w:tcPr>
            <w:tcW w:w="1325"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rPr>
                <w:rFonts w:ascii="Arial" w:hAnsi="Arial" w:cs="Arial"/>
                <w:color w:val="002060"/>
                <w:sz w:val="20"/>
                <w:szCs w:val="20"/>
              </w:rPr>
            </w:pPr>
            <w:r w:rsidRPr="007F1985">
              <w:rPr>
                <w:rFonts w:ascii="Arial" w:hAnsi="Arial" w:cs="Arial"/>
                <w:color w:val="002060"/>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85.222</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72.423</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67.276</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65.721</w:t>
            </w:r>
          </w:p>
        </w:tc>
        <w:tc>
          <w:tcPr>
            <w:tcW w:w="946" w:type="dxa"/>
            <w:tcBorders>
              <w:top w:val="nil"/>
              <w:left w:val="nil"/>
              <w:bottom w:val="single" w:sz="4" w:space="0" w:color="auto"/>
              <w:right w:val="single" w:sz="4" w:space="0" w:color="auto"/>
            </w:tcBorders>
            <w:shd w:val="clear" w:color="auto" w:fill="auto"/>
            <w:noWrap/>
            <w:vAlign w:val="bottom"/>
            <w:hideMark/>
          </w:tcPr>
          <w:p w:rsidR="007F1985" w:rsidRPr="007F1985" w:rsidRDefault="007F1985" w:rsidP="007F1985">
            <w:pPr>
              <w:jc w:val="center"/>
              <w:rPr>
                <w:rFonts w:ascii="Arial" w:hAnsi="Arial" w:cs="Arial"/>
                <w:color w:val="002060"/>
                <w:sz w:val="20"/>
                <w:szCs w:val="20"/>
              </w:rPr>
            </w:pPr>
            <w:r w:rsidRPr="007F1985">
              <w:rPr>
                <w:rFonts w:ascii="Arial" w:hAnsi="Arial" w:cs="Arial"/>
                <w:color w:val="002060"/>
                <w:sz w:val="20"/>
                <w:szCs w:val="20"/>
              </w:rPr>
              <w:t>69.336</w:t>
            </w:r>
          </w:p>
        </w:tc>
      </w:tr>
    </w:tbl>
    <w:p w:rsidR="007A1116" w:rsidRDefault="007A1116" w:rsidP="002D48FA">
      <w:pPr>
        <w:jc w:val="both"/>
        <w:rPr>
          <w:rFonts w:ascii="Arial" w:hAnsi="Arial" w:cs="Arial"/>
          <w:color w:val="000361"/>
          <w:sz w:val="16"/>
          <w:szCs w:val="16"/>
        </w:rPr>
      </w:pPr>
    </w:p>
    <w:p w:rsidR="007A1116" w:rsidRPr="00AE1EC6" w:rsidRDefault="007A1116" w:rsidP="002D48FA">
      <w:pPr>
        <w:jc w:val="both"/>
        <w:rPr>
          <w:rFonts w:ascii="Arial" w:hAnsi="Arial" w:cs="Arial"/>
          <w:color w:val="000361"/>
          <w:sz w:val="14"/>
          <w:szCs w:val="14"/>
        </w:rPr>
      </w:pPr>
      <w:r w:rsidRPr="00AE1EC6">
        <w:rPr>
          <w:rFonts w:ascii="Arial" w:hAnsi="Arial" w:cs="Arial"/>
          <w:color w:val="000361"/>
          <w:sz w:val="14"/>
          <w:szCs w:val="14"/>
        </w:rPr>
        <w:t>Font: Elaboració pròpia de les ràtios financeres a partir dels comptes anuals de Laboratoris HIPRA (2015-2019)</w:t>
      </w:r>
    </w:p>
    <w:p w:rsidR="002672D1" w:rsidRDefault="002672D1" w:rsidP="002D48FA">
      <w:pPr>
        <w:jc w:val="both"/>
        <w:rPr>
          <w:rFonts w:ascii="Arial" w:hAnsi="Arial" w:cs="Arial"/>
          <w:b/>
          <w:color w:val="000361"/>
        </w:rPr>
      </w:pPr>
    </w:p>
    <w:p w:rsidR="007A1116" w:rsidRDefault="007A1116" w:rsidP="007A1116">
      <w:pPr>
        <w:jc w:val="both"/>
        <w:rPr>
          <w:rFonts w:ascii="Arial" w:hAnsi="Arial" w:cs="Arial"/>
          <w:color w:val="002060"/>
          <w:sz w:val="20"/>
          <w:szCs w:val="20"/>
        </w:rPr>
      </w:pPr>
      <w:r>
        <w:rPr>
          <w:rFonts w:ascii="Arial" w:hAnsi="Arial" w:cs="Arial"/>
          <w:color w:val="002060"/>
          <w:sz w:val="20"/>
          <w:szCs w:val="20"/>
        </w:rPr>
        <w:t xml:space="preserve">- Ràtios de liquiditat: </w:t>
      </w:r>
    </w:p>
    <w:p w:rsidR="007A1116" w:rsidRDefault="007A1116" w:rsidP="007A1116">
      <w:pPr>
        <w:jc w:val="both"/>
        <w:rPr>
          <w:rFonts w:ascii="Arial" w:hAnsi="Arial" w:cs="Arial"/>
          <w:b/>
          <w:color w:val="000361"/>
        </w:rPr>
      </w:pPr>
    </w:p>
    <w:p w:rsidR="00E14AE6" w:rsidRDefault="004616AF" w:rsidP="007A1116">
      <w:pPr>
        <w:jc w:val="both"/>
        <w:rPr>
          <w:rFonts w:ascii="Arial" w:hAnsi="Arial" w:cs="Arial"/>
          <w:color w:val="002060"/>
          <w:sz w:val="20"/>
          <w:szCs w:val="20"/>
        </w:rPr>
      </w:pPr>
      <w:r>
        <w:rPr>
          <w:rFonts w:ascii="Arial" w:hAnsi="Arial" w:cs="Arial"/>
          <w:color w:val="002060"/>
          <w:sz w:val="20"/>
          <w:szCs w:val="20"/>
        </w:rPr>
        <w:t xml:space="preserve">Indica la capacitat que té l’empresa per </w:t>
      </w:r>
      <w:r w:rsidR="006973D2">
        <w:rPr>
          <w:rFonts w:ascii="Arial" w:hAnsi="Arial" w:cs="Arial"/>
          <w:color w:val="002060"/>
          <w:sz w:val="20"/>
          <w:szCs w:val="20"/>
        </w:rPr>
        <w:t xml:space="preserve">fer front a les obligacions a curt termini. En aquest sentit, Laboratoris Hipra obté </w:t>
      </w:r>
      <w:r w:rsidR="00E14AE6">
        <w:rPr>
          <w:rFonts w:ascii="Arial" w:hAnsi="Arial" w:cs="Arial"/>
          <w:color w:val="002060"/>
          <w:sz w:val="20"/>
          <w:szCs w:val="20"/>
        </w:rPr>
        <w:t xml:space="preserve">uns </w:t>
      </w:r>
      <w:r w:rsidR="006973D2">
        <w:rPr>
          <w:rFonts w:ascii="Arial" w:hAnsi="Arial" w:cs="Arial"/>
          <w:color w:val="002060"/>
          <w:sz w:val="20"/>
          <w:szCs w:val="20"/>
        </w:rPr>
        <w:t>valors</w:t>
      </w:r>
      <w:r w:rsidR="00E14AE6">
        <w:rPr>
          <w:rFonts w:ascii="Arial" w:hAnsi="Arial" w:cs="Arial"/>
          <w:color w:val="002060"/>
          <w:sz w:val="20"/>
          <w:szCs w:val="20"/>
        </w:rPr>
        <w:t xml:space="preserve"> amb les ràtios que es mantenen estables d’un exercici a l’altre mostrant-se</w:t>
      </w:r>
      <w:r w:rsidR="006973D2">
        <w:rPr>
          <w:rFonts w:ascii="Arial" w:hAnsi="Arial" w:cs="Arial"/>
          <w:color w:val="002060"/>
          <w:sz w:val="20"/>
          <w:szCs w:val="20"/>
        </w:rPr>
        <w:t xml:space="preserve"> clarament superiors als recomanats en cadascuna de les ràtios de liquiditat. Com a dada rellevant, s’observa a través de la ràtio de tresoreria que l’any 2019 amb un valor de 0,81</w:t>
      </w:r>
      <w:r w:rsidR="00FE00DD">
        <w:rPr>
          <w:rFonts w:ascii="Arial" w:hAnsi="Arial" w:cs="Arial"/>
          <w:color w:val="002060"/>
          <w:sz w:val="20"/>
          <w:szCs w:val="20"/>
        </w:rPr>
        <w:t xml:space="preserve"> que</w:t>
      </w:r>
      <w:r w:rsidR="006973D2">
        <w:rPr>
          <w:rFonts w:ascii="Arial" w:hAnsi="Arial" w:cs="Arial"/>
          <w:color w:val="002060"/>
          <w:sz w:val="20"/>
          <w:szCs w:val="20"/>
        </w:rPr>
        <w:t xml:space="preserve"> l’empresa amb els actius més líquids</w:t>
      </w:r>
      <w:r w:rsidR="00FE00DD">
        <w:rPr>
          <w:rFonts w:ascii="Arial" w:hAnsi="Arial" w:cs="Arial"/>
          <w:color w:val="002060"/>
          <w:sz w:val="20"/>
          <w:szCs w:val="20"/>
        </w:rPr>
        <w:t xml:space="preserve"> (tresoreria i equivalents)</w:t>
      </w:r>
      <w:r w:rsidR="006973D2">
        <w:rPr>
          <w:rFonts w:ascii="Arial" w:hAnsi="Arial" w:cs="Arial"/>
          <w:color w:val="002060"/>
          <w:sz w:val="20"/>
          <w:szCs w:val="20"/>
        </w:rPr>
        <w:t xml:space="preserve"> està molt a prop de poder satisfer la totalitat del passiu corrent.</w:t>
      </w:r>
      <w:r w:rsidR="0087751E">
        <w:rPr>
          <w:rFonts w:ascii="Arial" w:hAnsi="Arial" w:cs="Arial"/>
          <w:color w:val="002060"/>
          <w:sz w:val="20"/>
          <w:szCs w:val="20"/>
        </w:rPr>
        <w:t xml:space="preserve"> La ràtio del fons de maniobra també es troba amb valors significativament superiors a l’òptim </w:t>
      </w:r>
      <w:r w:rsidR="00E14AE6">
        <w:rPr>
          <w:rFonts w:ascii="Arial" w:hAnsi="Arial" w:cs="Arial"/>
          <w:color w:val="002060"/>
          <w:sz w:val="20"/>
          <w:szCs w:val="20"/>
        </w:rPr>
        <w:t>perquè</w:t>
      </w:r>
      <w:r w:rsidR="0087751E">
        <w:rPr>
          <w:rFonts w:ascii="Arial" w:hAnsi="Arial" w:cs="Arial"/>
          <w:color w:val="002060"/>
          <w:sz w:val="20"/>
          <w:szCs w:val="20"/>
        </w:rPr>
        <w:t xml:space="preserve"> l’actiu corrent supera </w:t>
      </w:r>
      <w:r w:rsidR="00FE00DD">
        <w:rPr>
          <w:rFonts w:ascii="Arial" w:hAnsi="Arial" w:cs="Arial"/>
          <w:color w:val="002060"/>
          <w:sz w:val="20"/>
          <w:szCs w:val="20"/>
        </w:rPr>
        <w:t>amb</w:t>
      </w:r>
      <w:r w:rsidR="0087751E">
        <w:rPr>
          <w:rFonts w:ascii="Arial" w:hAnsi="Arial" w:cs="Arial"/>
          <w:color w:val="002060"/>
          <w:sz w:val="20"/>
          <w:szCs w:val="20"/>
        </w:rPr>
        <w:t xml:space="preserve"> escreix el passiu corrent</w:t>
      </w:r>
      <w:r w:rsidR="00E14AE6">
        <w:rPr>
          <w:rFonts w:ascii="Arial" w:hAnsi="Arial" w:cs="Arial"/>
          <w:color w:val="002060"/>
          <w:sz w:val="20"/>
          <w:szCs w:val="20"/>
        </w:rPr>
        <w:t>.</w:t>
      </w:r>
    </w:p>
    <w:p w:rsidR="00E14AE6" w:rsidRDefault="00E14AE6" w:rsidP="007A1116">
      <w:pPr>
        <w:jc w:val="both"/>
        <w:rPr>
          <w:rFonts w:ascii="Arial" w:hAnsi="Arial" w:cs="Arial"/>
          <w:b/>
          <w:color w:val="000361"/>
        </w:rPr>
      </w:pPr>
    </w:p>
    <w:p w:rsidR="00DB4943" w:rsidRDefault="00E14AE6" w:rsidP="007A1116">
      <w:pPr>
        <w:jc w:val="both"/>
        <w:rPr>
          <w:rFonts w:ascii="Arial" w:hAnsi="Arial" w:cs="Arial"/>
          <w:color w:val="002060"/>
          <w:sz w:val="20"/>
          <w:szCs w:val="20"/>
        </w:rPr>
      </w:pPr>
      <w:r>
        <w:rPr>
          <w:rFonts w:ascii="Arial" w:hAnsi="Arial" w:cs="Arial"/>
          <w:color w:val="002060"/>
          <w:sz w:val="20"/>
          <w:szCs w:val="20"/>
        </w:rPr>
        <w:t>Els resultats indiquen que H</w:t>
      </w:r>
      <w:r w:rsidR="00D51D8D">
        <w:rPr>
          <w:rFonts w:ascii="Arial" w:hAnsi="Arial" w:cs="Arial"/>
          <w:color w:val="002060"/>
          <w:sz w:val="20"/>
          <w:szCs w:val="20"/>
        </w:rPr>
        <w:t>ipra</w:t>
      </w:r>
      <w:r>
        <w:rPr>
          <w:rFonts w:ascii="Arial" w:hAnsi="Arial" w:cs="Arial"/>
          <w:color w:val="002060"/>
          <w:sz w:val="20"/>
          <w:szCs w:val="20"/>
        </w:rPr>
        <w:t xml:space="preserve"> no té cap problema per atendre als venciments a curt termini </w:t>
      </w:r>
      <w:r w:rsidR="00FE3856">
        <w:rPr>
          <w:rFonts w:ascii="Arial" w:hAnsi="Arial" w:cs="Arial"/>
          <w:color w:val="002060"/>
          <w:sz w:val="20"/>
          <w:szCs w:val="20"/>
        </w:rPr>
        <w:t>sinó tot al contrari.</w:t>
      </w:r>
      <w:r>
        <w:rPr>
          <w:rFonts w:ascii="Arial" w:hAnsi="Arial" w:cs="Arial"/>
          <w:color w:val="002060"/>
          <w:sz w:val="20"/>
          <w:szCs w:val="20"/>
        </w:rPr>
        <w:t xml:space="preserve"> </w:t>
      </w:r>
      <w:r w:rsidR="00FE3856">
        <w:rPr>
          <w:rFonts w:ascii="Arial" w:hAnsi="Arial" w:cs="Arial"/>
          <w:color w:val="002060"/>
          <w:sz w:val="20"/>
          <w:szCs w:val="20"/>
        </w:rPr>
        <w:t>C</w:t>
      </w:r>
      <w:r>
        <w:rPr>
          <w:rFonts w:ascii="Arial" w:hAnsi="Arial" w:cs="Arial"/>
          <w:color w:val="002060"/>
          <w:sz w:val="20"/>
          <w:szCs w:val="20"/>
        </w:rPr>
        <w:t xml:space="preserve">aldrà analitzar </w:t>
      </w:r>
      <w:r w:rsidR="00FE3856">
        <w:rPr>
          <w:rFonts w:ascii="Arial" w:hAnsi="Arial" w:cs="Arial"/>
          <w:color w:val="002060"/>
          <w:sz w:val="20"/>
          <w:szCs w:val="20"/>
        </w:rPr>
        <w:t>la política de pagaments i cobraments del sector perquè podria tenir un excés de recursos en l’actiu circulant i com a conseqüència una pèrdua de rendibilitat.</w:t>
      </w:r>
    </w:p>
    <w:p w:rsidR="00DB4943" w:rsidRDefault="00DB4943" w:rsidP="007A1116">
      <w:pPr>
        <w:jc w:val="both"/>
        <w:rPr>
          <w:rFonts w:ascii="Arial" w:hAnsi="Arial" w:cs="Arial"/>
          <w:b/>
          <w:color w:val="000361"/>
        </w:rPr>
      </w:pPr>
    </w:p>
    <w:p w:rsidR="00564D90" w:rsidRDefault="00564D90" w:rsidP="007A1116">
      <w:pPr>
        <w:jc w:val="both"/>
        <w:rPr>
          <w:rFonts w:ascii="Arial" w:hAnsi="Arial" w:cs="Arial"/>
          <w:color w:val="002060"/>
          <w:sz w:val="20"/>
          <w:szCs w:val="20"/>
        </w:rPr>
      </w:pPr>
      <w:r>
        <w:rPr>
          <w:rFonts w:ascii="Arial" w:hAnsi="Arial" w:cs="Arial"/>
          <w:color w:val="002060"/>
          <w:sz w:val="20"/>
          <w:szCs w:val="20"/>
        </w:rPr>
        <w:t>- Ràtios d’endeutament:</w:t>
      </w:r>
    </w:p>
    <w:p w:rsidR="00564D90" w:rsidRDefault="00564D90" w:rsidP="007A1116">
      <w:pPr>
        <w:jc w:val="both"/>
        <w:rPr>
          <w:rFonts w:ascii="Arial" w:hAnsi="Arial" w:cs="Arial"/>
          <w:color w:val="002060"/>
          <w:sz w:val="20"/>
          <w:szCs w:val="20"/>
        </w:rPr>
      </w:pPr>
    </w:p>
    <w:p w:rsidR="00E60714" w:rsidRDefault="00564D90" w:rsidP="007A1116">
      <w:pPr>
        <w:jc w:val="both"/>
        <w:rPr>
          <w:rFonts w:ascii="Arial" w:hAnsi="Arial" w:cs="Arial"/>
          <w:color w:val="002060"/>
          <w:sz w:val="20"/>
          <w:szCs w:val="20"/>
        </w:rPr>
      </w:pPr>
      <w:r>
        <w:rPr>
          <w:rFonts w:ascii="Arial" w:hAnsi="Arial" w:cs="Arial"/>
          <w:color w:val="002060"/>
          <w:sz w:val="20"/>
          <w:szCs w:val="20"/>
        </w:rPr>
        <w:lastRenderedPageBreak/>
        <w:t>Laboratoris H</w:t>
      </w:r>
      <w:r w:rsidR="00D51D8D">
        <w:rPr>
          <w:rFonts w:ascii="Arial" w:hAnsi="Arial" w:cs="Arial"/>
          <w:color w:val="002060"/>
          <w:sz w:val="20"/>
          <w:szCs w:val="20"/>
        </w:rPr>
        <w:t>ipra</w:t>
      </w:r>
      <w:r>
        <w:rPr>
          <w:rFonts w:ascii="Arial" w:hAnsi="Arial" w:cs="Arial"/>
          <w:color w:val="002060"/>
          <w:sz w:val="20"/>
          <w:szCs w:val="20"/>
        </w:rPr>
        <w:t xml:space="preserve"> es </w:t>
      </w:r>
      <w:r w:rsidR="00DF620D">
        <w:rPr>
          <w:rFonts w:ascii="Arial" w:hAnsi="Arial" w:cs="Arial"/>
          <w:color w:val="002060"/>
          <w:sz w:val="20"/>
          <w:szCs w:val="20"/>
        </w:rPr>
        <w:t>finança</w:t>
      </w:r>
      <w:r>
        <w:rPr>
          <w:rFonts w:ascii="Arial" w:hAnsi="Arial" w:cs="Arial"/>
          <w:color w:val="002060"/>
          <w:sz w:val="20"/>
          <w:szCs w:val="20"/>
        </w:rPr>
        <w:t xml:space="preserve"> majoritàriament amb fons propis tal i com indiquen els valors propers a 0,3 obtinguts amb la ràtio d’endeutament, això li permet un major grau d’autonomia i estabilitat, no haver de suportar els costos associats al finançament aliè</w:t>
      </w:r>
      <w:r w:rsidR="00FE00DD">
        <w:rPr>
          <w:rFonts w:ascii="Arial" w:hAnsi="Arial" w:cs="Arial"/>
          <w:color w:val="002060"/>
          <w:sz w:val="20"/>
          <w:szCs w:val="20"/>
        </w:rPr>
        <w:t xml:space="preserve"> i</w:t>
      </w:r>
      <w:r>
        <w:rPr>
          <w:rFonts w:ascii="Arial" w:hAnsi="Arial" w:cs="Arial"/>
          <w:color w:val="002060"/>
          <w:sz w:val="20"/>
          <w:szCs w:val="20"/>
        </w:rPr>
        <w:t xml:space="preserve"> </w:t>
      </w:r>
      <w:r w:rsidR="00FE00DD">
        <w:rPr>
          <w:rFonts w:ascii="Arial" w:hAnsi="Arial" w:cs="Arial"/>
          <w:color w:val="002060"/>
          <w:sz w:val="20"/>
          <w:szCs w:val="20"/>
        </w:rPr>
        <w:t>a més,</w:t>
      </w:r>
      <w:r>
        <w:rPr>
          <w:rFonts w:ascii="Arial" w:hAnsi="Arial" w:cs="Arial"/>
          <w:color w:val="002060"/>
          <w:sz w:val="20"/>
          <w:szCs w:val="20"/>
        </w:rPr>
        <w:t xml:space="preserve"> disposa d’una gran capacitat d’endeutar-se sense haver d’assumir massa riscos donada la seva solvència.</w:t>
      </w:r>
    </w:p>
    <w:p w:rsidR="00E60714" w:rsidRDefault="00E60714" w:rsidP="007A1116">
      <w:pPr>
        <w:jc w:val="both"/>
        <w:rPr>
          <w:rFonts w:ascii="Arial" w:hAnsi="Arial" w:cs="Arial"/>
          <w:color w:val="002060"/>
          <w:sz w:val="20"/>
          <w:szCs w:val="20"/>
        </w:rPr>
      </w:pPr>
    </w:p>
    <w:p w:rsidR="00564D90" w:rsidRDefault="00E60714" w:rsidP="007A1116">
      <w:pPr>
        <w:jc w:val="both"/>
        <w:rPr>
          <w:rFonts w:ascii="Arial" w:hAnsi="Arial" w:cs="Arial"/>
          <w:color w:val="002060"/>
          <w:sz w:val="20"/>
          <w:szCs w:val="20"/>
        </w:rPr>
      </w:pPr>
      <w:r>
        <w:rPr>
          <w:rFonts w:ascii="Arial" w:hAnsi="Arial" w:cs="Arial"/>
          <w:color w:val="002060"/>
          <w:sz w:val="20"/>
          <w:szCs w:val="20"/>
        </w:rPr>
        <w:t>Els recursos permanents representen aproximadament un 80% del passiu</w:t>
      </w:r>
      <w:r w:rsidR="00564D90">
        <w:rPr>
          <w:rFonts w:ascii="Arial" w:hAnsi="Arial" w:cs="Arial"/>
          <w:color w:val="002060"/>
          <w:sz w:val="20"/>
          <w:szCs w:val="20"/>
        </w:rPr>
        <w:t xml:space="preserve"> </w:t>
      </w:r>
      <w:r>
        <w:rPr>
          <w:rFonts w:ascii="Arial" w:hAnsi="Arial" w:cs="Arial"/>
          <w:color w:val="002060"/>
          <w:sz w:val="20"/>
          <w:szCs w:val="20"/>
        </w:rPr>
        <w:t xml:space="preserve">dotant l’empresa d’estabilitat, la ràtio de la qualitat del deute </w:t>
      </w:r>
      <w:r w:rsidR="00620DC7">
        <w:rPr>
          <w:rFonts w:ascii="Arial" w:hAnsi="Arial" w:cs="Arial"/>
          <w:color w:val="002060"/>
          <w:sz w:val="20"/>
          <w:szCs w:val="20"/>
        </w:rPr>
        <w:t xml:space="preserve">que determina la composició del deute </w:t>
      </w:r>
      <w:r>
        <w:rPr>
          <w:rFonts w:ascii="Arial" w:hAnsi="Arial" w:cs="Arial"/>
          <w:color w:val="002060"/>
          <w:sz w:val="20"/>
          <w:szCs w:val="20"/>
        </w:rPr>
        <w:t xml:space="preserve">obté valors molt superiors als desitjables malgrat que ha anat </w:t>
      </w:r>
      <w:r w:rsidR="00DF620D">
        <w:rPr>
          <w:rFonts w:ascii="Arial" w:hAnsi="Arial" w:cs="Arial"/>
          <w:color w:val="002060"/>
          <w:sz w:val="20"/>
          <w:szCs w:val="20"/>
        </w:rPr>
        <w:t>disminuint</w:t>
      </w:r>
      <w:r>
        <w:rPr>
          <w:rFonts w:ascii="Arial" w:hAnsi="Arial" w:cs="Arial"/>
          <w:color w:val="002060"/>
          <w:sz w:val="20"/>
          <w:szCs w:val="20"/>
        </w:rPr>
        <w:t xml:space="preserve"> de “6” el 2015 a “2” el 2019</w:t>
      </w:r>
      <w:r w:rsidR="00D0577A">
        <w:rPr>
          <w:rFonts w:ascii="Arial" w:hAnsi="Arial" w:cs="Arial"/>
          <w:color w:val="002060"/>
          <w:sz w:val="20"/>
          <w:szCs w:val="20"/>
        </w:rPr>
        <w:t>,</w:t>
      </w:r>
      <w:r w:rsidR="00C252B0">
        <w:rPr>
          <w:rFonts w:ascii="Arial" w:hAnsi="Arial" w:cs="Arial"/>
          <w:color w:val="002060"/>
          <w:sz w:val="20"/>
          <w:szCs w:val="20"/>
        </w:rPr>
        <w:t xml:space="preserve"> no obstant no esdevé una situació de risc perquè el deute </w:t>
      </w:r>
      <w:r w:rsidR="00DF620D">
        <w:rPr>
          <w:rFonts w:ascii="Arial" w:hAnsi="Arial" w:cs="Arial"/>
          <w:color w:val="002060"/>
          <w:sz w:val="20"/>
          <w:szCs w:val="20"/>
        </w:rPr>
        <w:t>representa</w:t>
      </w:r>
      <w:r w:rsidR="00C252B0">
        <w:rPr>
          <w:rFonts w:ascii="Arial" w:hAnsi="Arial" w:cs="Arial"/>
          <w:color w:val="002060"/>
          <w:sz w:val="20"/>
          <w:szCs w:val="20"/>
        </w:rPr>
        <w:t xml:space="preserve"> una font de finançament amb poc pes dintre el passiu com</w:t>
      </w:r>
      <w:r w:rsidR="00D0577A">
        <w:rPr>
          <w:rFonts w:ascii="Arial" w:hAnsi="Arial" w:cs="Arial"/>
          <w:color w:val="002060"/>
          <w:sz w:val="20"/>
          <w:szCs w:val="20"/>
        </w:rPr>
        <w:t xml:space="preserve"> ja</w:t>
      </w:r>
      <w:r w:rsidR="00C252B0">
        <w:rPr>
          <w:rFonts w:ascii="Arial" w:hAnsi="Arial" w:cs="Arial"/>
          <w:color w:val="002060"/>
          <w:sz w:val="20"/>
          <w:szCs w:val="20"/>
        </w:rPr>
        <w:t xml:space="preserve"> vam observar en el balanç de situació i també amb els valors resultants de la ràtio de garantia. La ràtio de fermesa</w:t>
      </w:r>
      <w:r w:rsidR="00B07AFA">
        <w:rPr>
          <w:rFonts w:ascii="Arial" w:hAnsi="Arial" w:cs="Arial"/>
          <w:color w:val="002060"/>
          <w:sz w:val="20"/>
          <w:szCs w:val="20"/>
        </w:rPr>
        <w:t xml:space="preserve"> obté valors molt per sobre del nivell òptim i</w:t>
      </w:r>
      <w:r w:rsidR="00C252B0">
        <w:rPr>
          <w:rFonts w:ascii="Arial" w:hAnsi="Arial" w:cs="Arial"/>
          <w:color w:val="002060"/>
          <w:sz w:val="20"/>
          <w:szCs w:val="20"/>
        </w:rPr>
        <w:t xml:space="preserve"> confirma la poca utilització del deute a llarg termini</w:t>
      </w:r>
      <w:r w:rsidR="00B07AFA">
        <w:rPr>
          <w:rFonts w:ascii="Arial" w:hAnsi="Arial" w:cs="Arial"/>
          <w:color w:val="002060"/>
          <w:sz w:val="20"/>
          <w:szCs w:val="20"/>
        </w:rPr>
        <w:t xml:space="preserve"> encara que l’any 2019 es redueix fins a un 6,91 perquè en aquest exercici s’intensifica el finançament aliè a llarg termini. </w:t>
      </w:r>
    </w:p>
    <w:p w:rsidR="00B07AFA" w:rsidRDefault="00B07AFA" w:rsidP="007A1116">
      <w:pPr>
        <w:jc w:val="both"/>
        <w:rPr>
          <w:rFonts w:ascii="Arial" w:hAnsi="Arial" w:cs="Arial"/>
          <w:b/>
          <w:color w:val="000361"/>
        </w:rPr>
      </w:pPr>
    </w:p>
    <w:p w:rsidR="00B07AFA" w:rsidRDefault="0003346A" w:rsidP="007A1116">
      <w:pPr>
        <w:jc w:val="both"/>
        <w:rPr>
          <w:rFonts w:ascii="Arial" w:hAnsi="Arial" w:cs="Arial"/>
          <w:color w:val="002060"/>
          <w:sz w:val="20"/>
          <w:szCs w:val="20"/>
        </w:rPr>
      </w:pPr>
      <w:r>
        <w:rPr>
          <w:rFonts w:ascii="Arial" w:hAnsi="Arial" w:cs="Arial"/>
          <w:color w:val="002060"/>
          <w:sz w:val="20"/>
          <w:szCs w:val="20"/>
        </w:rPr>
        <w:t>- Fons de maniobra:</w:t>
      </w:r>
    </w:p>
    <w:p w:rsidR="0003346A" w:rsidRDefault="0003346A" w:rsidP="007A1116">
      <w:pPr>
        <w:jc w:val="both"/>
        <w:rPr>
          <w:rFonts w:ascii="Arial" w:hAnsi="Arial" w:cs="Arial"/>
          <w:color w:val="00206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3891"/>
        <w:gridCol w:w="5120"/>
      </w:tblGrid>
      <w:tr w:rsidR="00AE1EC6" w:rsidTr="00AE1EC6">
        <w:tc>
          <w:tcPr>
            <w:tcW w:w="3891" w:type="dxa"/>
          </w:tcPr>
          <w:p w:rsidR="00AE1EC6" w:rsidRDefault="00AE1EC6" w:rsidP="007A1116">
            <w:pPr>
              <w:jc w:val="both"/>
              <w:rPr>
                <w:rFonts w:ascii="Arial" w:hAnsi="Arial" w:cs="Arial"/>
                <w:color w:val="002060"/>
                <w:sz w:val="20"/>
                <w:szCs w:val="20"/>
              </w:rPr>
            </w:pPr>
          </w:p>
        </w:tc>
        <w:tc>
          <w:tcPr>
            <w:tcW w:w="5120" w:type="dxa"/>
            <w:vMerge w:val="restart"/>
          </w:tcPr>
          <w:p w:rsidR="00AE1EC6" w:rsidRDefault="00AE1EC6" w:rsidP="00AE1EC6">
            <w:pPr>
              <w:rPr>
                <w:noProof/>
              </w:rPr>
            </w:pPr>
            <w:r>
              <w:rPr>
                <w:rFonts w:ascii="Arial" w:hAnsi="Arial" w:cs="Arial"/>
                <w:color w:val="002060"/>
                <w:sz w:val="20"/>
                <w:szCs w:val="20"/>
              </w:rPr>
              <w:t xml:space="preserve">    </w:t>
            </w:r>
            <w:r w:rsidRPr="00AE1EC6">
              <w:rPr>
                <w:rFonts w:ascii="Arial" w:hAnsi="Arial" w:cs="Arial"/>
                <w:color w:val="002060"/>
                <w:sz w:val="20"/>
                <w:szCs w:val="20"/>
              </w:rPr>
              <w:t>Gràfic 2.3. Fons de maniobra de Hipra</w:t>
            </w:r>
            <w:r>
              <w:rPr>
                <w:rFonts w:ascii="Arial" w:hAnsi="Arial" w:cs="Arial"/>
                <w:color w:val="002060"/>
                <w:sz w:val="20"/>
                <w:szCs w:val="20"/>
              </w:rPr>
              <w:t xml:space="preserve"> l</w:t>
            </w:r>
            <w:r w:rsidRPr="00AE1EC6">
              <w:rPr>
                <w:rFonts w:ascii="Arial" w:hAnsi="Arial" w:cs="Arial"/>
                <w:color w:val="002060"/>
                <w:sz w:val="20"/>
                <w:szCs w:val="20"/>
              </w:rPr>
              <w:t>’any 2019</w:t>
            </w:r>
          </w:p>
        </w:tc>
      </w:tr>
      <w:tr w:rsidR="00AE1EC6" w:rsidTr="00AE1EC6">
        <w:trPr>
          <w:trHeight w:val="230"/>
        </w:trPr>
        <w:tc>
          <w:tcPr>
            <w:tcW w:w="3891" w:type="dxa"/>
            <w:vMerge w:val="restart"/>
          </w:tcPr>
          <w:p w:rsidR="00AE1EC6" w:rsidRDefault="00AE1EC6" w:rsidP="007A1116">
            <w:pPr>
              <w:jc w:val="both"/>
              <w:rPr>
                <w:rFonts w:ascii="Arial" w:hAnsi="Arial" w:cs="Arial"/>
                <w:color w:val="002060"/>
                <w:sz w:val="20"/>
                <w:szCs w:val="20"/>
              </w:rPr>
            </w:pPr>
            <w:r>
              <w:rPr>
                <w:rFonts w:ascii="Arial" w:hAnsi="Arial" w:cs="Arial"/>
                <w:color w:val="002060"/>
                <w:sz w:val="20"/>
                <w:szCs w:val="20"/>
              </w:rPr>
              <w:t>El fons de maniobra de Laboratoris Hipra s’ha mantingut en tots els exercicis amb valors clarament positius que atorguen estabilitat i seguretat a l’empresa. Com a referència, gràficament podem visualitzar el fons de maniobra de l’exercici 2019. Indica que l’empresa té un actiu corrent àmpliament superior al passiu corrent, fet que li permet afrontar totes les seves obligacions a curt termini amb la tranquil·litat que encara disposa d’un marge suficient en cas que es demorin els cobraments dels actius corrents menys líquids tals com existències i deutors comercials. En aquest sentit s’observa al balanç corresponent a l’any 2019 que l’empresa reforça aquest fons de maniobra per mitjà d’augmentar significativament les partides tresoreria i altres actius més líquids.</w:t>
            </w:r>
          </w:p>
        </w:tc>
        <w:tc>
          <w:tcPr>
            <w:tcW w:w="5120" w:type="dxa"/>
            <w:vMerge/>
          </w:tcPr>
          <w:p w:rsidR="00AE1EC6" w:rsidRPr="00AE1EC6" w:rsidRDefault="00AE1EC6" w:rsidP="00AE1EC6">
            <w:pPr>
              <w:rPr>
                <w:noProof/>
                <w:sz w:val="20"/>
                <w:szCs w:val="20"/>
              </w:rPr>
            </w:pPr>
          </w:p>
        </w:tc>
      </w:tr>
      <w:tr w:rsidR="00AE1EC6" w:rsidTr="00AE1EC6">
        <w:tc>
          <w:tcPr>
            <w:tcW w:w="3891" w:type="dxa"/>
            <w:vMerge/>
          </w:tcPr>
          <w:p w:rsidR="00AE1EC6" w:rsidRDefault="00AE1EC6" w:rsidP="007A1116">
            <w:pPr>
              <w:jc w:val="both"/>
              <w:rPr>
                <w:rFonts w:ascii="Arial" w:hAnsi="Arial" w:cs="Arial"/>
                <w:color w:val="002060"/>
                <w:sz w:val="20"/>
                <w:szCs w:val="20"/>
              </w:rPr>
            </w:pPr>
          </w:p>
        </w:tc>
        <w:tc>
          <w:tcPr>
            <w:tcW w:w="5120" w:type="dxa"/>
          </w:tcPr>
          <w:p w:rsidR="00AE1EC6" w:rsidRDefault="00AE1EC6" w:rsidP="00A57CAC">
            <w:pPr>
              <w:jc w:val="right"/>
              <w:rPr>
                <w:rFonts w:ascii="Arial" w:hAnsi="Arial" w:cs="Arial"/>
                <w:color w:val="002060"/>
                <w:sz w:val="20"/>
                <w:szCs w:val="20"/>
              </w:rPr>
            </w:pPr>
            <w:r>
              <w:rPr>
                <w:noProof/>
              </w:rPr>
              <w:drawing>
                <wp:inline distT="0" distB="0" distL="0" distR="0" wp14:anchorId="5CE88BAC" wp14:editId="604339C6">
                  <wp:extent cx="3158490" cy="2743200"/>
                  <wp:effectExtent l="0" t="0" r="3810" b="0"/>
                  <wp:docPr id="7" name="Gráfico 7">
                    <a:extLst xmlns:a="http://schemas.openxmlformats.org/drawingml/2006/main">
                      <a:ext uri="{FF2B5EF4-FFF2-40B4-BE49-F238E27FC236}">
                        <a16:creationId xmlns:a16="http://schemas.microsoft.com/office/drawing/2014/main" id="{38BCAF4A-B65D-A449-B15D-B0BBB21134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DE4C54" w:rsidTr="00AE1EC6">
        <w:tblPrEx>
          <w:tblCellMar>
            <w:left w:w="108" w:type="dxa"/>
            <w:right w:w="108" w:type="dxa"/>
          </w:tblCellMar>
        </w:tblPrEx>
        <w:tc>
          <w:tcPr>
            <w:tcW w:w="3891" w:type="dxa"/>
          </w:tcPr>
          <w:p w:rsidR="00A57CAC" w:rsidRDefault="00A57CAC" w:rsidP="007A1116">
            <w:pPr>
              <w:jc w:val="both"/>
              <w:rPr>
                <w:rFonts w:ascii="Arial" w:hAnsi="Arial" w:cs="Arial"/>
                <w:color w:val="002060"/>
                <w:sz w:val="20"/>
                <w:szCs w:val="20"/>
              </w:rPr>
            </w:pPr>
          </w:p>
        </w:tc>
        <w:tc>
          <w:tcPr>
            <w:tcW w:w="5120" w:type="dxa"/>
          </w:tcPr>
          <w:p w:rsidR="00A57CAC" w:rsidRPr="00A12F82" w:rsidRDefault="00AE1EC6" w:rsidP="00AE1EC6">
            <w:pPr>
              <w:rPr>
                <w:rFonts w:ascii="Arial" w:hAnsi="Arial" w:cs="Arial"/>
                <w:color w:val="002060"/>
                <w:sz w:val="14"/>
                <w:szCs w:val="14"/>
              </w:rPr>
            </w:pPr>
            <w:r>
              <w:rPr>
                <w:rFonts w:ascii="Arial" w:hAnsi="Arial" w:cs="Arial"/>
                <w:color w:val="002060"/>
                <w:sz w:val="16"/>
                <w:szCs w:val="16"/>
              </w:rPr>
              <w:t xml:space="preserve">    </w:t>
            </w:r>
            <w:r w:rsidRPr="00A12F82">
              <w:rPr>
                <w:rFonts w:ascii="Arial" w:hAnsi="Arial" w:cs="Arial"/>
                <w:color w:val="002060"/>
                <w:sz w:val="14"/>
                <w:szCs w:val="14"/>
              </w:rPr>
              <w:t>Font: Elaboració pròpia</w:t>
            </w:r>
          </w:p>
        </w:tc>
      </w:tr>
    </w:tbl>
    <w:p w:rsidR="0003346A" w:rsidRPr="0003346A" w:rsidRDefault="0003346A" w:rsidP="007A1116">
      <w:pPr>
        <w:jc w:val="both"/>
        <w:rPr>
          <w:rFonts w:ascii="Arial" w:hAnsi="Arial" w:cs="Arial"/>
          <w:color w:val="002060"/>
          <w:sz w:val="20"/>
          <w:szCs w:val="20"/>
        </w:rPr>
      </w:pPr>
    </w:p>
    <w:p w:rsidR="0023233E" w:rsidRDefault="000657E1" w:rsidP="002D48FA">
      <w:pPr>
        <w:jc w:val="both"/>
        <w:rPr>
          <w:rFonts w:ascii="Arial" w:hAnsi="Arial" w:cs="Arial"/>
          <w:b/>
          <w:color w:val="000361"/>
        </w:rPr>
      </w:pPr>
      <w:r>
        <w:rPr>
          <w:rFonts w:ascii="Arial" w:hAnsi="Arial" w:cs="Arial"/>
          <w:color w:val="000361"/>
          <w:sz w:val="20"/>
          <w:szCs w:val="20"/>
        </w:rPr>
        <w:t>Caldrà contrastar amb l’anàlisi sectorial per aproximar-nos a la política de pagaments i cobraments pròpia de l’activitat que desenvolupa Hipra per saber si aquest fons de maniobra s’ajusta a les necessitats o bé s’estan utilitzant actius que són ineficients en termes de rendibilitat.</w:t>
      </w:r>
      <w:r w:rsidR="0023233E">
        <w:rPr>
          <w:rFonts w:ascii="Arial" w:hAnsi="Arial" w:cs="Arial"/>
          <w:b/>
          <w:color w:val="000361"/>
        </w:rPr>
        <w:br w:type="page"/>
      </w:r>
    </w:p>
    <w:p w:rsidR="002D48FA" w:rsidRDefault="00106DD6" w:rsidP="002D48FA">
      <w:pPr>
        <w:jc w:val="both"/>
        <w:rPr>
          <w:rFonts w:ascii="Arial" w:hAnsi="Arial" w:cs="Arial"/>
          <w:b/>
          <w:color w:val="000361"/>
        </w:rPr>
      </w:pPr>
      <w:r w:rsidRPr="00942F89">
        <w:rPr>
          <w:rFonts w:ascii="Arial" w:hAnsi="Arial" w:cs="Arial"/>
          <w:b/>
          <w:color w:val="000361"/>
        </w:rPr>
        <w:lastRenderedPageBreak/>
        <w:t>2.3. Anàlisi del compte de pèrdues i guanys consolidats</w:t>
      </w:r>
    </w:p>
    <w:p w:rsidR="00CB3A54" w:rsidRDefault="00CB3A54" w:rsidP="002D48FA">
      <w:pPr>
        <w:jc w:val="both"/>
        <w:rPr>
          <w:rFonts w:ascii="Arial" w:hAnsi="Arial" w:cs="Arial"/>
          <w:b/>
          <w:color w:val="000361"/>
        </w:rPr>
      </w:pPr>
    </w:p>
    <w:p w:rsidR="00CB3A54" w:rsidRDefault="00CB3A54" w:rsidP="002D48FA">
      <w:pPr>
        <w:jc w:val="both"/>
        <w:rPr>
          <w:rFonts w:ascii="Arial" w:hAnsi="Arial" w:cs="Arial"/>
          <w:color w:val="002060"/>
          <w:sz w:val="20"/>
          <w:szCs w:val="20"/>
        </w:rPr>
      </w:pPr>
      <w:r>
        <w:rPr>
          <w:rFonts w:ascii="Arial" w:hAnsi="Arial" w:cs="Arial"/>
          <w:color w:val="002060"/>
          <w:sz w:val="20"/>
          <w:szCs w:val="20"/>
        </w:rPr>
        <w:t>L’anàlisi del compte de pèrdues i guanys de Laboratoris Hipra es realitza a partir dels comptes anuals consolidats dels exercicis 2015 al 2019 obtinguts a través de la base de dades SABI. En aquest estudi es mostren els percentatges verticals i horitzontals de les partides del compte de pèrdues i guanys, s’analitzarà la rotació per mitjà del càlcul de les ràtios</w:t>
      </w:r>
      <w:r w:rsidR="004C3C1B">
        <w:rPr>
          <w:rFonts w:ascii="Arial" w:hAnsi="Arial" w:cs="Arial"/>
          <w:color w:val="002060"/>
          <w:sz w:val="20"/>
          <w:szCs w:val="20"/>
        </w:rPr>
        <w:t xml:space="preserve">, el palanquejament operatiu i </w:t>
      </w:r>
      <w:r w:rsidR="00DF620D">
        <w:rPr>
          <w:rFonts w:ascii="Arial" w:hAnsi="Arial" w:cs="Arial"/>
          <w:color w:val="002060"/>
          <w:sz w:val="20"/>
          <w:szCs w:val="20"/>
        </w:rPr>
        <w:t>n’extraurem</w:t>
      </w:r>
      <w:r w:rsidR="004C3C1B">
        <w:rPr>
          <w:rFonts w:ascii="Arial" w:hAnsi="Arial" w:cs="Arial"/>
          <w:color w:val="002060"/>
          <w:sz w:val="20"/>
          <w:szCs w:val="20"/>
        </w:rPr>
        <w:t xml:space="preserve"> conclusions del compte de resultats.</w:t>
      </w:r>
      <w:r>
        <w:rPr>
          <w:rFonts w:ascii="Arial" w:hAnsi="Arial" w:cs="Arial"/>
          <w:color w:val="002060"/>
          <w:sz w:val="20"/>
          <w:szCs w:val="20"/>
        </w:rPr>
        <w:t xml:space="preserve"> </w:t>
      </w:r>
    </w:p>
    <w:p w:rsidR="00EA2E31" w:rsidRDefault="00EA2E31" w:rsidP="002D48FA">
      <w:pPr>
        <w:jc w:val="both"/>
        <w:rPr>
          <w:rFonts w:ascii="Arial" w:hAnsi="Arial" w:cs="Arial"/>
          <w:color w:val="002060"/>
          <w:sz w:val="20"/>
          <w:szCs w:val="20"/>
        </w:rPr>
      </w:pPr>
    </w:p>
    <w:p w:rsidR="00EA2E31" w:rsidRPr="00CB3A54" w:rsidRDefault="00EA2E31" w:rsidP="002D48FA">
      <w:pPr>
        <w:jc w:val="both"/>
        <w:rPr>
          <w:rFonts w:ascii="Arial" w:hAnsi="Arial" w:cs="Arial"/>
          <w:color w:val="002060"/>
          <w:sz w:val="20"/>
          <w:szCs w:val="20"/>
        </w:rPr>
      </w:pPr>
      <w:r>
        <w:rPr>
          <w:rFonts w:ascii="Arial" w:hAnsi="Arial" w:cs="Arial"/>
          <w:color w:val="002060"/>
          <w:sz w:val="20"/>
          <w:szCs w:val="20"/>
        </w:rPr>
        <w:t xml:space="preserve">Malgrat que els comptes anuals consolidats de Laboratoris Hipra són auditats i compleixen amb les exigències legalment establertes es troben </w:t>
      </w:r>
      <w:r w:rsidR="0056565C">
        <w:rPr>
          <w:rFonts w:ascii="Arial" w:hAnsi="Arial" w:cs="Arial"/>
          <w:color w:val="002060"/>
          <w:sz w:val="20"/>
          <w:szCs w:val="20"/>
        </w:rPr>
        <w:t xml:space="preserve">agrupats de manera molt </w:t>
      </w:r>
      <w:r>
        <w:rPr>
          <w:rFonts w:ascii="Arial" w:hAnsi="Arial" w:cs="Arial"/>
          <w:color w:val="002060"/>
          <w:sz w:val="20"/>
          <w:szCs w:val="20"/>
        </w:rPr>
        <w:t>simplifica</w:t>
      </w:r>
      <w:r w:rsidR="0056565C">
        <w:rPr>
          <w:rFonts w:ascii="Arial" w:hAnsi="Arial" w:cs="Arial"/>
          <w:color w:val="002060"/>
          <w:sz w:val="20"/>
          <w:szCs w:val="20"/>
        </w:rPr>
        <w:t>da</w:t>
      </w:r>
      <w:r>
        <w:rPr>
          <w:rFonts w:ascii="Arial" w:hAnsi="Arial" w:cs="Arial"/>
          <w:color w:val="002060"/>
          <w:sz w:val="20"/>
          <w:szCs w:val="20"/>
        </w:rPr>
        <w:t xml:space="preserve"> i això</w:t>
      </w:r>
      <w:r w:rsidR="0056565C">
        <w:rPr>
          <w:rFonts w:ascii="Arial" w:hAnsi="Arial" w:cs="Arial"/>
          <w:color w:val="002060"/>
          <w:sz w:val="20"/>
          <w:szCs w:val="20"/>
        </w:rPr>
        <w:t xml:space="preserve"> en facilita la comprensió però en</w:t>
      </w:r>
      <w:r>
        <w:rPr>
          <w:rFonts w:ascii="Arial" w:hAnsi="Arial" w:cs="Arial"/>
          <w:color w:val="002060"/>
          <w:sz w:val="20"/>
          <w:szCs w:val="20"/>
        </w:rPr>
        <w:t xml:space="preserve"> dificulta la precisió </w:t>
      </w:r>
      <w:r w:rsidR="0056565C">
        <w:rPr>
          <w:rFonts w:ascii="Arial" w:hAnsi="Arial" w:cs="Arial"/>
          <w:color w:val="002060"/>
          <w:sz w:val="20"/>
          <w:szCs w:val="20"/>
        </w:rPr>
        <w:t>durant</w:t>
      </w:r>
      <w:r>
        <w:rPr>
          <w:rFonts w:ascii="Arial" w:hAnsi="Arial" w:cs="Arial"/>
          <w:color w:val="002060"/>
          <w:sz w:val="20"/>
          <w:szCs w:val="20"/>
        </w:rPr>
        <w:t xml:space="preserve"> l’anàlisi.</w:t>
      </w:r>
    </w:p>
    <w:p w:rsidR="00CB3A54" w:rsidRPr="00942F89" w:rsidRDefault="00CB3A54" w:rsidP="002D48FA">
      <w:pPr>
        <w:jc w:val="both"/>
        <w:rPr>
          <w:rFonts w:ascii="Arial" w:hAnsi="Arial" w:cs="Arial"/>
          <w:b/>
          <w:color w:val="000361"/>
        </w:rPr>
      </w:pPr>
    </w:p>
    <w:p w:rsidR="002D48FA" w:rsidRPr="0017266E" w:rsidRDefault="00106DD6" w:rsidP="002D48FA">
      <w:pPr>
        <w:jc w:val="both"/>
        <w:rPr>
          <w:rFonts w:ascii="Arial" w:hAnsi="Arial" w:cs="Arial"/>
          <w:i/>
          <w:color w:val="000361"/>
          <w:sz w:val="20"/>
          <w:szCs w:val="20"/>
        </w:rPr>
      </w:pPr>
      <w:r w:rsidRPr="0017266E">
        <w:rPr>
          <w:rFonts w:ascii="Arial" w:hAnsi="Arial" w:cs="Arial"/>
          <w:i/>
          <w:color w:val="000361"/>
          <w:sz w:val="20"/>
          <w:szCs w:val="20"/>
        </w:rPr>
        <w:t>2.3.1. Anàlisi percentual</w:t>
      </w:r>
    </w:p>
    <w:p w:rsidR="004C3C1B" w:rsidRDefault="004C3C1B" w:rsidP="002D48FA">
      <w:pPr>
        <w:jc w:val="both"/>
        <w:rPr>
          <w:rFonts w:ascii="Arial" w:hAnsi="Arial" w:cs="Arial"/>
          <w:color w:val="000361"/>
          <w:sz w:val="20"/>
          <w:szCs w:val="20"/>
        </w:rPr>
      </w:pPr>
    </w:p>
    <w:p w:rsidR="004C3C1B" w:rsidRDefault="004C3C1B" w:rsidP="002D48FA">
      <w:pPr>
        <w:jc w:val="both"/>
        <w:rPr>
          <w:rFonts w:ascii="Arial" w:hAnsi="Arial" w:cs="Arial"/>
          <w:color w:val="000361"/>
          <w:sz w:val="20"/>
          <w:szCs w:val="20"/>
        </w:rPr>
      </w:pPr>
      <w:r>
        <w:rPr>
          <w:rFonts w:ascii="Arial" w:hAnsi="Arial" w:cs="Arial"/>
          <w:color w:val="002060"/>
          <w:sz w:val="20"/>
          <w:szCs w:val="20"/>
        </w:rPr>
        <w:t>A continuació es mostren les taules amb el comptes de pèrdues i guanys de Laboratoris Hipra amb els seus percentatges verticals i horitzontals. Aquests càlculs han de permetre visualitzar el pes i les variacions de les partides que el composen i determinar quin impacte tenen en el compte de resultats.</w:t>
      </w:r>
      <w:r w:rsidR="00EA2E31">
        <w:rPr>
          <w:rFonts w:ascii="Arial" w:hAnsi="Arial" w:cs="Arial"/>
          <w:color w:val="002060"/>
          <w:sz w:val="20"/>
          <w:szCs w:val="20"/>
        </w:rPr>
        <w:t xml:space="preserve"> </w:t>
      </w:r>
    </w:p>
    <w:p w:rsidR="004C3C1B" w:rsidRPr="0040185D" w:rsidRDefault="004C3C1B" w:rsidP="002D48FA">
      <w:pPr>
        <w:jc w:val="both"/>
        <w:rPr>
          <w:rFonts w:ascii="Arial" w:hAnsi="Arial" w:cs="Arial"/>
          <w:color w:val="000361"/>
          <w:sz w:val="20"/>
          <w:szCs w:val="20"/>
        </w:rPr>
      </w:pPr>
    </w:p>
    <w:p w:rsidR="00EA2E31" w:rsidRDefault="00EA2E31" w:rsidP="002D48FA">
      <w:pPr>
        <w:jc w:val="both"/>
        <w:rPr>
          <w:rFonts w:ascii="Arial" w:hAnsi="Arial" w:cs="Arial"/>
          <w:color w:val="000361"/>
          <w:sz w:val="20"/>
          <w:szCs w:val="20"/>
        </w:rPr>
      </w:pPr>
      <w:r>
        <w:rPr>
          <w:rFonts w:ascii="Arial" w:hAnsi="Arial" w:cs="Arial"/>
          <w:color w:val="000361"/>
          <w:sz w:val="20"/>
          <w:szCs w:val="20"/>
        </w:rPr>
        <w:br w:type="page"/>
      </w:r>
    </w:p>
    <w:p w:rsidR="00EA2E31" w:rsidRDefault="00EA2E31" w:rsidP="002D48FA">
      <w:pPr>
        <w:jc w:val="both"/>
        <w:rPr>
          <w:rFonts w:ascii="Arial" w:hAnsi="Arial" w:cs="Arial"/>
          <w:color w:val="000361"/>
          <w:sz w:val="20"/>
          <w:szCs w:val="20"/>
        </w:rPr>
        <w:sectPr w:rsidR="00EA2E31" w:rsidSect="00C82625">
          <w:pgSz w:w="11901" w:h="16817"/>
          <w:pgMar w:top="1440" w:right="1440" w:bottom="1440" w:left="1440" w:header="709" w:footer="709" w:gutter="0"/>
          <w:cols w:space="708"/>
          <w:docGrid w:linePitch="360"/>
        </w:sectPr>
      </w:pPr>
    </w:p>
    <w:tbl>
      <w:tblPr>
        <w:tblW w:w="13738" w:type="dxa"/>
        <w:tblCellMar>
          <w:left w:w="0" w:type="dxa"/>
          <w:right w:w="0" w:type="dxa"/>
        </w:tblCellMar>
        <w:tblLook w:val="04A0" w:firstRow="1" w:lastRow="0" w:firstColumn="1" w:lastColumn="0" w:noHBand="0" w:noVBand="1"/>
      </w:tblPr>
      <w:tblGrid>
        <w:gridCol w:w="3710"/>
        <w:gridCol w:w="1087"/>
        <w:gridCol w:w="932"/>
        <w:gridCol w:w="1087"/>
        <w:gridCol w:w="932"/>
        <w:gridCol w:w="1087"/>
        <w:gridCol w:w="932"/>
        <w:gridCol w:w="1087"/>
        <w:gridCol w:w="932"/>
        <w:gridCol w:w="1087"/>
        <w:gridCol w:w="868"/>
      </w:tblGrid>
      <w:tr w:rsidR="00002C89" w:rsidTr="006F7F16">
        <w:trPr>
          <w:trHeight w:val="265"/>
        </w:trPr>
        <w:tc>
          <w:tcPr>
            <w:tcW w:w="12870" w:type="dxa"/>
            <w:gridSpan w:val="10"/>
            <w:tcBorders>
              <w:top w:val="nil"/>
              <w:left w:val="nil"/>
              <w:bottom w:val="nil"/>
              <w:right w:val="nil"/>
            </w:tcBorders>
            <w:shd w:val="clear" w:color="auto" w:fill="auto"/>
            <w:noWrap/>
            <w:tcMar>
              <w:top w:w="15" w:type="dxa"/>
              <w:left w:w="15" w:type="dxa"/>
              <w:bottom w:w="0" w:type="dxa"/>
              <w:right w:w="15" w:type="dxa"/>
            </w:tcMar>
            <w:hideMark/>
          </w:tcPr>
          <w:p w:rsidR="00002C89" w:rsidRPr="00A12F82" w:rsidRDefault="00002C89">
            <w:pPr>
              <w:rPr>
                <w:sz w:val="20"/>
                <w:szCs w:val="20"/>
              </w:rPr>
            </w:pPr>
            <w:r w:rsidRPr="00A12F82">
              <w:rPr>
                <w:rFonts w:ascii="Arial" w:hAnsi="Arial" w:cs="Arial"/>
                <w:bCs/>
                <w:color w:val="002060"/>
                <w:sz w:val="20"/>
                <w:szCs w:val="20"/>
              </w:rPr>
              <w:lastRenderedPageBreak/>
              <w:t>Taula 2.</w:t>
            </w:r>
            <w:r w:rsidR="002672D1" w:rsidRPr="00A12F82">
              <w:rPr>
                <w:rFonts w:ascii="Arial" w:hAnsi="Arial" w:cs="Arial"/>
                <w:bCs/>
                <w:color w:val="002060"/>
                <w:sz w:val="20"/>
                <w:szCs w:val="20"/>
              </w:rPr>
              <w:t>4</w:t>
            </w:r>
            <w:r w:rsidRPr="00A12F82">
              <w:rPr>
                <w:rFonts w:ascii="Arial" w:hAnsi="Arial" w:cs="Arial"/>
                <w:bCs/>
                <w:color w:val="002060"/>
                <w:sz w:val="20"/>
                <w:szCs w:val="20"/>
              </w:rPr>
              <w:t xml:space="preserve"> - Percentatges verticals del compte de pèrdues i guanys de Laboratoris Hipra pel període 2015-2019 (en milers d'€)</w:t>
            </w:r>
          </w:p>
        </w:tc>
        <w:tc>
          <w:tcPr>
            <w:tcW w:w="868" w:type="dxa"/>
            <w:tcBorders>
              <w:top w:val="nil"/>
              <w:left w:val="nil"/>
              <w:bottom w:val="nil"/>
              <w:right w:val="nil"/>
            </w:tcBorders>
            <w:shd w:val="clear" w:color="auto" w:fill="auto"/>
            <w:noWrap/>
            <w:tcMar>
              <w:top w:w="15" w:type="dxa"/>
              <w:left w:w="15" w:type="dxa"/>
              <w:bottom w:w="0" w:type="dxa"/>
              <w:right w:w="15" w:type="dxa"/>
            </w:tcMar>
            <w:hideMark/>
          </w:tcPr>
          <w:p w:rsidR="00002C89" w:rsidRDefault="00002C89">
            <w:pPr>
              <w:rPr>
                <w:sz w:val="20"/>
                <w:szCs w:val="20"/>
              </w:rPr>
            </w:pPr>
          </w:p>
        </w:tc>
      </w:tr>
      <w:tr w:rsidR="00247311" w:rsidTr="00247311">
        <w:trPr>
          <w:trHeight w:val="26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47311" w:rsidRDefault="0024731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47311" w:rsidRDefault="0024731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47311" w:rsidRDefault="0024731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47311" w:rsidRDefault="0024731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47311" w:rsidRDefault="0024731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47311" w:rsidRDefault="0024731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47311" w:rsidRDefault="0024731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47311" w:rsidRDefault="0024731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47311" w:rsidRDefault="0024731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47311" w:rsidRDefault="0024731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47311" w:rsidRDefault="00247311">
            <w:pPr>
              <w:rPr>
                <w:sz w:val="20"/>
                <w:szCs w:val="20"/>
              </w:rPr>
            </w:pPr>
          </w:p>
        </w:tc>
      </w:tr>
      <w:tr w:rsidR="00247311" w:rsidTr="00247311">
        <w:trPr>
          <w:trHeight w:val="26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247311" w:rsidRDefault="0024731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47311" w:rsidRDefault="0024731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47311" w:rsidRDefault="0024731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47311" w:rsidRDefault="0024731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47311" w:rsidRDefault="0024731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47311" w:rsidRDefault="0024731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47311" w:rsidRDefault="0024731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47311" w:rsidRDefault="0024731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47311" w:rsidRDefault="0024731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47311" w:rsidRDefault="0024731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247311" w:rsidRDefault="00247311">
            <w:pPr>
              <w:rPr>
                <w:sz w:val="20"/>
                <w:szCs w:val="20"/>
              </w:rPr>
            </w:pPr>
          </w:p>
        </w:tc>
      </w:tr>
      <w:tr w:rsidR="00247311" w:rsidTr="00247311">
        <w:trPr>
          <w:trHeight w:val="26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b/>
                <w:bCs/>
                <w:color w:val="002060"/>
                <w:sz w:val="20"/>
                <w:szCs w:val="20"/>
              </w:rPr>
            </w:pPr>
            <w:r>
              <w:rPr>
                <w:rFonts w:ascii="Arial" w:hAnsi="Arial" w:cs="Arial"/>
                <w:b/>
                <w:bCs/>
                <w:color w:val="002060"/>
                <w:sz w:val="20"/>
                <w:szCs w:val="20"/>
              </w:rPr>
              <w:t>COMPTE DE PÈRDUES I GUANYS</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2019</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2018</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2017</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2016</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2015</w:t>
            </w:r>
          </w:p>
        </w:tc>
      </w:tr>
      <w:tr w:rsidR="00247311" w:rsidTr="00247311">
        <w:trPr>
          <w:trHeight w:val="265"/>
        </w:trPr>
        <w:tc>
          <w:tcPr>
            <w:tcW w:w="0" w:type="auto"/>
            <w:vMerge/>
            <w:tcBorders>
              <w:top w:val="single" w:sz="4" w:space="0" w:color="auto"/>
              <w:left w:val="single" w:sz="4" w:space="0" w:color="auto"/>
              <w:bottom w:val="single" w:sz="4" w:space="0" w:color="000000"/>
              <w:right w:val="single" w:sz="4" w:space="0" w:color="auto"/>
            </w:tcBorders>
            <w:hideMark/>
          </w:tcPr>
          <w:p w:rsidR="00247311" w:rsidRDefault="00247311">
            <w:pPr>
              <w:rPr>
                <w:rFonts w:ascii="Arial" w:hAnsi="Arial" w:cs="Arial"/>
                <w:b/>
                <w:bCs/>
                <w:color w:val="00206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milers 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milers 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milers 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milers 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milers 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w:t>
            </w:r>
          </w:p>
        </w:tc>
      </w:tr>
      <w:tr w:rsidR="00247311" w:rsidTr="00247311">
        <w:trPr>
          <w:trHeight w:val="26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Import net de la xifra de negocis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277.175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256.800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242.815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222.561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199.784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100,00%</w:t>
            </w:r>
          </w:p>
        </w:tc>
      </w:tr>
      <w:tr w:rsidR="00247311" w:rsidTr="00247311">
        <w:trPr>
          <w:trHeight w:val="26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Aprovisionaments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-62.684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-22,62%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-58.906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-22,94%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-53.448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-22,01%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-57.866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-52.147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-26,10%</w:t>
            </w:r>
          </w:p>
        </w:tc>
      </w:tr>
      <w:tr w:rsidR="00247311" w:rsidTr="00247311">
        <w:trPr>
          <w:trHeight w:val="26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Altres ingressos d'explotació</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5.676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1,16%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1.947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1.073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0,48%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1.726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0,86%</w:t>
            </w:r>
          </w:p>
        </w:tc>
      </w:tr>
      <w:tr w:rsidR="00247311" w:rsidTr="00247311">
        <w:trPr>
          <w:trHeight w:val="26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Despeses de personal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-83.062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-29,97%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-73.703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-28,70%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-65.159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-26,83%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-56.139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-25,22%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-47.395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-23,72%</w:t>
            </w:r>
          </w:p>
        </w:tc>
      </w:tr>
      <w:tr w:rsidR="00247311" w:rsidTr="00247311">
        <w:trPr>
          <w:trHeight w:val="26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Altres despeses d'explotació</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-73.517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-26,52%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-72.095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-28,07%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-70.695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-29,11%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-64.942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-29,18%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-55.933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-28,00%</w:t>
            </w:r>
          </w:p>
        </w:tc>
      </w:tr>
      <w:tr w:rsidR="00247311" w:rsidTr="00247311">
        <w:trPr>
          <w:trHeight w:val="26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Amortització de l'immobilitzat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-16.543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-5,97%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-13.895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-5,41%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-12.576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-5,18%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-9.322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-4,19%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-8.998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-4,50%</w:t>
            </w:r>
          </w:p>
        </w:tc>
      </w:tr>
      <w:tr w:rsidR="00247311" w:rsidTr="00247311">
        <w:trPr>
          <w:trHeight w:val="265"/>
        </w:trPr>
        <w:tc>
          <w:tcPr>
            <w:tcW w:w="0" w:type="auto"/>
            <w:tcBorders>
              <w:top w:val="nil"/>
              <w:left w:val="single" w:sz="4" w:space="0" w:color="auto"/>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rPr>
                <w:rFonts w:ascii="Arial" w:hAnsi="Arial" w:cs="Arial"/>
                <w:b/>
                <w:bCs/>
                <w:color w:val="002060"/>
                <w:sz w:val="20"/>
                <w:szCs w:val="20"/>
              </w:rPr>
            </w:pPr>
            <w:r>
              <w:rPr>
                <w:rFonts w:ascii="Arial" w:hAnsi="Arial" w:cs="Arial"/>
                <w:b/>
                <w:bCs/>
                <w:color w:val="002060"/>
                <w:sz w:val="20"/>
                <w:szCs w:val="20"/>
              </w:rPr>
              <w:t>Resultat d'explotació</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47.045</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16,97%</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41.191</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16,04%</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42.884</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17,66%</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35.365</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15,89%</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37.037</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18,54%</w:t>
            </w:r>
          </w:p>
        </w:tc>
      </w:tr>
      <w:tr w:rsidR="00247311" w:rsidTr="00247311">
        <w:trPr>
          <w:trHeight w:val="26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 </w:t>
            </w:r>
          </w:p>
        </w:tc>
      </w:tr>
      <w:tr w:rsidR="00247311" w:rsidTr="00247311">
        <w:trPr>
          <w:trHeight w:val="26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Ingressos financers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340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0,12%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477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405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445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0,22%</w:t>
            </w:r>
          </w:p>
        </w:tc>
      </w:tr>
      <w:tr w:rsidR="00247311" w:rsidTr="00247311">
        <w:trPr>
          <w:trHeight w:val="26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Despeses financeres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-751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-0,27%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-1.669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-3.089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-1,27%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-0,11%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-1.025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-0,51%</w:t>
            </w:r>
          </w:p>
        </w:tc>
      </w:tr>
      <w:tr w:rsidR="00247311" w:rsidTr="00247311">
        <w:trPr>
          <w:trHeight w:val="265"/>
        </w:trPr>
        <w:tc>
          <w:tcPr>
            <w:tcW w:w="0" w:type="auto"/>
            <w:tcBorders>
              <w:top w:val="nil"/>
              <w:left w:val="single" w:sz="4" w:space="0" w:color="auto"/>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rPr>
                <w:rFonts w:ascii="Arial" w:hAnsi="Arial" w:cs="Arial"/>
                <w:b/>
                <w:bCs/>
                <w:color w:val="002060"/>
                <w:sz w:val="20"/>
                <w:szCs w:val="20"/>
              </w:rPr>
            </w:pPr>
            <w:r>
              <w:rPr>
                <w:rFonts w:ascii="Arial" w:hAnsi="Arial" w:cs="Arial"/>
                <w:b/>
                <w:bCs/>
                <w:color w:val="002060"/>
                <w:sz w:val="20"/>
                <w:szCs w:val="20"/>
              </w:rPr>
              <w:t>Resultat financer</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-411</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-0,15%</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-1.400</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-0,55%</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-2.612</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-1,08%</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150</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0,07%</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-580</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-0,29%</w:t>
            </w:r>
          </w:p>
        </w:tc>
      </w:tr>
      <w:tr w:rsidR="00247311" w:rsidTr="00247311">
        <w:trPr>
          <w:trHeight w:val="26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 </w:t>
            </w:r>
          </w:p>
        </w:tc>
      </w:tr>
      <w:tr w:rsidR="00247311" w:rsidTr="00247311">
        <w:trPr>
          <w:trHeight w:val="265"/>
        </w:trPr>
        <w:tc>
          <w:tcPr>
            <w:tcW w:w="0" w:type="auto"/>
            <w:tcBorders>
              <w:top w:val="nil"/>
              <w:left w:val="single" w:sz="4" w:space="0" w:color="auto"/>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rPr>
                <w:rFonts w:ascii="Arial" w:hAnsi="Arial" w:cs="Arial"/>
                <w:b/>
                <w:bCs/>
                <w:color w:val="002060"/>
                <w:sz w:val="20"/>
                <w:szCs w:val="20"/>
              </w:rPr>
            </w:pPr>
            <w:r>
              <w:rPr>
                <w:rFonts w:ascii="Arial" w:hAnsi="Arial" w:cs="Arial"/>
                <w:b/>
                <w:bCs/>
                <w:color w:val="002060"/>
                <w:sz w:val="20"/>
                <w:szCs w:val="20"/>
              </w:rPr>
              <w:t>Resultat abans d'impostos</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46.634</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16,82%</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39.791</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15,49%</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40.272</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16,59%</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35.515</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15,96%</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36.457</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18,25%</w:t>
            </w:r>
          </w:p>
        </w:tc>
      </w:tr>
      <w:tr w:rsidR="00247311" w:rsidTr="00247311">
        <w:trPr>
          <w:trHeight w:val="26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rPr>
                <w:rFonts w:ascii="Arial" w:hAnsi="Arial" w:cs="Arial"/>
                <w:color w:val="002060"/>
                <w:sz w:val="20"/>
                <w:szCs w:val="20"/>
              </w:rPr>
            </w:pPr>
            <w:r>
              <w:rPr>
                <w:rFonts w:ascii="Arial" w:hAnsi="Arial" w:cs="Arial"/>
                <w:color w:val="002060"/>
                <w:sz w:val="20"/>
                <w:szCs w:val="20"/>
              </w:rPr>
              <w:t>Impostos sobre beneficis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6.572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4.996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1,95%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6.833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6.165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2,77%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7.545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247311" w:rsidRDefault="00247311">
            <w:pPr>
              <w:jc w:val="right"/>
              <w:rPr>
                <w:rFonts w:ascii="Arial" w:hAnsi="Arial" w:cs="Arial"/>
                <w:color w:val="002060"/>
                <w:sz w:val="20"/>
                <w:szCs w:val="20"/>
              </w:rPr>
            </w:pPr>
            <w:r>
              <w:rPr>
                <w:rFonts w:ascii="Arial" w:hAnsi="Arial" w:cs="Arial"/>
                <w:color w:val="002060"/>
                <w:sz w:val="20"/>
                <w:szCs w:val="20"/>
              </w:rPr>
              <w:t>3,78%</w:t>
            </w:r>
          </w:p>
        </w:tc>
      </w:tr>
      <w:tr w:rsidR="00247311" w:rsidTr="00247311">
        <w:trPr>
          <w:trHeight w:val="265"/>
        </w:trPr>
        <w:tc>
          <w:tcPr>
            <w:tcW w:w="0" w:type="auto"/>
            <w:tcBorders>
              <w:top w:val="nil"/>
              <w:left w:val="single" w:sz="4" w:space="0" w:color="auto"/>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rPr>
                <w:rFonts w:ascii="Arial" w:hAnsi="Arial" w:cs="Arial"/>
                <w:b/>
                <w:bCs/>
                <w:color w:val="002060"/>
                <w:sz w:val="20"/>
                <w:szCs w:val="20"/>
              </w:rPr>
            </w:pPr>
            <w:r>
              <w:rPr>
                <w:rFonts w:ascii="Arial" w:hAnsi="Arial" w:cs="Arial"/>
                <w:b/>
                <w:bCs/>
                <w:color w:val="002060"/>
                <w:sz w:val="20"/>
                <w:szCs w:val="20"/>
              </w:rPr>
              <w:t>RESULTAT DE L'EXERCICI</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40.062</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14,45%</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34.795</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13,55%</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33.439</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13,77%</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29.350</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13,19%</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28.912</w:t>
            </w:r>
          </w:p>
        </w:tc>
        <w:tc>
          <w:tcPr>
            <w:tcW w:w="0" w:type="auto"/>
            <w:tcBorders>
              <w:top w:val="nil"/>
              <w:left w:val="nil"/>
              <w:bottom w:val="single" w:sz="4" w:space="0" w:color="auto"/>
              <w:right w:val="single" w:sz="4" w:space="0" w:color="auto"/>
            </w:tcBorders>
            <w:shd w:val="clear" w:color="000000" w:fill="E7E6E6"/>
            <w:noWrap/>
            <w:tcMar>
              <w:top w:w="15" w:type="dxa"/>
              <w:left w:w="15" w:type="dxa"/>
              <w:bottom w:w="0" w:type="dxa"/>
              <w:right w:w="15" w:type="dxa"/>
            </w:tcMar>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14,47%</w:t>
            </w:r>
          </w:p>
        </w:tc>
      </w:tr>
    </w:tbl>
    <w:p w:rsidR="00247311" w:rsidRDefault="00247311" w:rsidP="002D48FA">
      <w:pPr>
        <w:jc w:val="both"/>
        <w:rPr>
          <w:rFonts w:ascii="Arial" w:hAnsi="Arial" w:cs="Arial"/>
          <w:color w:val="000361"/>
          <w:sz w:val="20"/>
          <w:szCs w:val="20"/>
        </w:rPr>
      </w:pPr>
      <w:r>
        <w:rPr>
          <w:rFonts w:ascii="Arial" w:hAnsi="Arial" w:cs="Arial"/>
          <w:color w:val="000361"/>
          <w:sz w:val="20"/>
          <w:szCs w:val="20"/>
        </w:rPr>
        <w:t xml:space="preserve"> </w:t>
      </w:r>
    </w:p>
    <w:p w:rsidR="00247311" w:rsidRPr="00A12F82" w:rsidRDefault="00247311" w:rsidP="00247311">
      <w:pPr>
        <w:pStyle w:val="Prrafodelista"/>
        <w:ind w:left="0"/>
        <w:jc w:val="both"/>
        <w:rPr>
          <w:rFonts w:ascii="Arial" w:hAnsi="Arial" w:cs="Arial"/>
          <w:color w:val="000361"/>
          <w:sz w:val="14"/>
          <w:szCs w:val="14"/>
        </w:rPr>
      </w:pPr>
      <w:bookmarkStart w:id="2" w:name="OLE_LINK1"/>
      <w:r w:rsidRPr="00A12F82">
        <w:rPr>
          <w:rFonts w:ascii="Arial" w:hAnsi="Arial" w:cs="Arial"/>
          <w:color w:val="002060"/>
          <w:sz w:val="14"/>
          <w:szCs w:val="14"/>
        </w:rPr>
        <w:t>Font: Elaboració pròpia a partir del compte de pèrdues i guanys de Laboratoris Hipra (2015-2019)</w:t>
      </w:r>
    </w:p>
    <w:bookmarkEnd w:id="2"/>
    <w:p w:rsidR="00247311" w:rsidRDefault="00247311" w:rsidP="002D48FA">
      <w:pPr>
        <w:jc w:val="both"/>
        <w:rPr>
          <w:rFonts w:ascii="Arial" w:hAnsi="Arial" w:cs="Arial"/>
          <w:color w:val="000361"/>
          <w:sz w:val="20"/>
          <w:szCs w:val="20"/>
        </w:rPr>
      </w:pPr>
    </w:p>
    <w:p w:rsidR="00247311" w:rsidRDefault="00247311" w:rsidP="002D48FA">
      <w:pPr>
        <w:jc w:val="both"/>
        <w:rPr>
          <w:rFonts w:ascii="Arial" w:hAnsi="Arial" w:cs="Arial"/>
          <w:color w:val="000361"/>
          <w:sz w:val="20"/>
          <w:szCs w:val="20"/>
        </w:rPr>
      </w:pPr>
    </w:p>
    <w:p w:rsidR="00247311" w:rsidRDefault="00247311" w:rsidP="002D48FA">
      <w:pPr>
        <w:jc w:val="both"/>
        <w:rPr>
          <w:rFonts w:ascii="Arial" w:hAnsi="Arial" w:cs="Arial"/>
          <w:color w:val="000361"/>
          <w:sz w:val="20"/>
          <w:szCs w:val="20"/>
        </w:rPr>
      </w:pPr>
    </w:p>
    <w:p w:rsidR="00247311" w:rsidRDefault="00247311" w:rsidP="002D48FA">
      <w:pPr>
        <w:jc w:val="both"/>
        <w:rPr>
          <w:rFonts w:ascii="Arial" w:hAnsi="Arial" w:cs="Arial"/>
          <w:color w:val="000361"/>
          <w:sz w:val="20"/>
          <w:szCs w:val="20"/>
        </w:rPr>
      </w:pPr>
    </w:p>
    <w:p w:rsidR="00247311" w:rsidRDefault="00247311" w:rsidP="002D48FA">
      <w:pPr>
        <w:jc w:val="both"/>
        <w:rPr>
          <w:rFonts w:ascii="Arial" w:hAnsi="Arial" w:cs="Arial"/>
          <w:color w:val="000361"/>
          <w:sz w:val="20"/>
          <w:szCs w:val="20"/>
        </w:rPr>
      </w:pPr>
    </w:p>
    <w:p w:rsidR="00247311" w:rsidRDefault="00247311" w:rsidP="002D48FA">
      <w:pPr>
        <w:jc w:val="both"/>
        <w:rPr>
          <w:rFonts w:ascii="Arial" w:hAnsi="Arial" w:cs="Arial"/>
          <w:color w:val="000361"/>
          <w:sz w:val="20"/>
          <w:szCs w:val="20"/>
        </w:rPr>
      </w:pPr>
    </w:p>
    <w:p w:rsidR="00247311" w:rsidRDefault="00247311" w:rsidP="002D48FA">
      <w:pPr>
        <w:jc w:val="both"/>
        <w:rPr>
          <w:rFonts w:ascii="Arial" w:hAnsi="Arial" w:cs="Arial"/>
          <w:color w:val="000361"/>
          <w:sz w:val="20"/>
          <w:szCs w:val="20"/>
        </w:rPr>
      </w:pPr>
    </w:p>
    <w:p w:rsidR="00247311" w:rsidRDefault="00247311" w:rsidP="002D48FA">
      <w:pPr>
        <w:jc w:val="both"/>
        <w:rPr>
          <w:rFonts w:ascii="Arial" w:hAnsi="Arial" w:cs="Arial"/>
          <w:color w:val="000361"/>
          <w:sz w:val="20"/>
          <w:szCs w:val="20"/>
        </w:rPr>
      </w:pPr>
    </w:p>
    <w:p w:rsidR="00247311" w:rsidRDefault="00247311" w:rsidP="002D48FA">
      <w:pPr>
        <w:jc w:val="both"/>
        <w:rPr>
          <w:rFonts w:ascii="Arial" w:hAnsi="Arial" w:cs="Arial"/>
          <w:color w:val="000361"/>
          <w:sz w:val="20"/>
          <w:szCs w:val="20"/>
        </w:rPr>
      </w:pPr>
    </w:p>
    <w:p w:rsidR="00247311" w:rsidRDefault="00247311" w:rsidP="002D48FA">
      <w:pPr>
        <w:jc w:val="both"/>
        <w:rPr>
          <w:rFonts w:ascii="Arial" w:hAnsi="Arial" w:cs="Arial"/>
          <w:color w:val="000361"/>
          <w:sz w:val="20"/>
          <w:szCs w:val="20"/>
        </w:rPr>
      </w:pPr>
    </w:p>
    <w:p w:rsidR="00C32830" w:rsidRDefault="00C32830">
      <w:r>
        <w:br w:type="page"/>
      </w:r>
    </w:p>
    <w:tbl>
      <w:tblPr>
        <w:tblW w:w="14198" w:type="dxa"/>
        <w:tblCellMar>
          <w:left w:w="70" w:type="dxa"/>
          <w:right w:w="70" w:type="dxa"/>
        </w:tblCellMar>
        <w:tblLook w:val="04A0" w:firstRow="1" w:lastRow="0" w:firstColumn="1" w:lastColumn="0" w:noHBand="0" w:noVBand="1"/>
      </w:tblPr>
      <w:tblGrid>
        <w:gridCol w:w="4109"/>
        <w:gridCol w:w="1233"/>
        <w:gridCol w:w="1010"/>
        <w:gridCol w:w="1234"/>
        <w:gridCol w:w="1010"/>
        <w:gridCol w:w="1234"/>
        <w:gridCol w:w="1055"/>
        <w:gridCol w:w="1174"/>
        <w:gridCol w:w="965"/>
        <w:gridCol w:w="1174"/>
      </w:tblGrid>
      <w:tr w:rsidR="00247311" w:rsidTr="00002C89">
        <w:trPr>
          <w:trHeight w:val="260"/>
        </w:trPr>
        <w:tc>
          <w:tcPr>
            <w:tcW w:w="13024" w:type="dxa"/>
            <w:gridSpan w:val="9"/>
            <w:tcBorders>
              <w:top w:val="nil"/>
              <w:left w:val="nil"/>
              <w:bottom w:val="nil"/>
              <w:right w:val="nil"/>
            </w:tcBorders>
            <w:shd w:val="clear" w:color="auto" w:fill="auto"/>
            <w:noWrap/>
            <w:hideMark/>
          </w:tcPr>
          <w:p w:rsidR="00247311" w:rsidRPr="00A12F82" w:rsidRDefault="00002C89">
            <w:pPr>
              <w:rPr>
                <w:sz w:val="20"/>
                <w:szCs w:val="20"/>
              </w:rPr>
            </w:pPr>
            <w:r w:rsidRPr="00A12F82">
              <w:rPr>
                <w:rFonts w:ascii="Arial" w:hAnsi="Arial" w:cs="Arial"/>
                <w:bCs/>
                <w:color w:val="002060"/>
                <w:sz w:val="20"/>
                <w:szCs w:val="20"/>
              </w:rPr>
              <w:lastRenderedPageBreak/>
              <w:t>Taula 2.</w:t>
            </w:r>
            <w:r w:rsidR="002672D1" w:rsidRPr="00A12F82">
              <w:rPr>
                <w:rFonts w:ascii="Arial" w:hAnsi="Arial" w:cs="Arial"/>
                <w:bCs/>
                <w:color w:val="002060"/>
                <w:sz w:val="20"/>
                <w:szCs w:val="20"/>
              </w:rPr>
              <w:t>5</w:t>
            </w:r>
            <w:r w:rsidRPr="00A12F82">
              <w:rPr>
                <w:rFonts w:ascii="Arial" w:hAnsi="Arial" w:cs="Arial"/>
                <w:bCs/>
                <w:color w:val="002060"/>
                <w:sz w:val="20"/>
                <w:szCs w:val="20"/>
              </w:rPr>
              <w:t xml:space="preserve"> - P</w:t>
            </w:r>
            <w:r w:rsidR="00247311" w:rsidRPr="00A12F82">
              <w:rPr>
                <w:rFonts w:ascii="Arial" w:hAnsi="Arial" w:cs="Arial"/>
                <w:bCs/>
                <w:color w:val="002060"/>
                <w:sz w:val="20"/>
                <w:szCs w:val="20"/>
              </w:rPr>
              <w:t xml:space="preserve">ercentatges horitzontals del compte de pèrdues i guanys </w:t>
            </w:r>
            <w:r w:rsidRPr="00A12F82">
              <w:rPr>
                <w:rFonts w:ascii="Arial" w:hAnsi="Arial" w:cs="Arial"/>
                <w:bCs/>
                <w:color w:val="002060"/>
                <w:sz w:val="20"/>
                <w:szCs w:val="20"/>
              </w:rPr>
              <w:t>de Laboratoris H</w:t>
            </w:r>
            <w:r w:rsidR="00247311" w:rsidRPr="00A12F82">
              <w:rPr>
                <w:rFonts w:ascii="Arial" w:hAnsi="Arial" w:cs="Arial"/>
                <w:bCs/>
                <w:color w:val="002060"/>
                <w:sz w:val="20"/>
                <w:szCs w:val="20"/>
              </w:rPr>
              <w:t>ipra pel període 201</w:t>
            </w:r>
            <w:r w:rsidRPr="00A12F82">
              <w:rPr>
                <w:rFonts w:ascii="Arial" w:hAnsi="Arial" w:cs="Arial"/>
                <w:bCs/>
                <w:color w:val="002060"/>
                <w:sz w:val="20"/>
                <w:szCs w:val="20"/>
              </w:rPr>
              <w:t>5</w:t>
            </w:r>
            <w:r w:rsidR="00247311" w:rsidRPr="00A12F82">
              <w:rPr>
                <w:rFonts w:ascii="Arial" w:hAnsi="Arial" w:cs="Arial"/>
                <w:bCs/>
                <w:color w:val="002060"/>
                <w:sz w:val="20"/>
                <w:szCs w:val="20"/>
              </w:rPr>
              <w:t>-201</w:t>
            </w:r>
            <w:r w:rsidRPr="00A12F82">
              <w:rPr>
                <w:rFonts w:ascii="Arial" w:hAnsi="Arial" w:cs="Arial"/>
                <w:bCs/>
                <w:color w:val="002060"/>
                <w:sz w:val="20"/>
                <w:szCs w:val="20"/>
              </w:rPr>
              <w:t>9</w:t>
            </w:r>
            <w:r w:rsidR="00247311" w:rsidRPr="00A12F82">
              <w:rPr>
                <w:rFonts w:ascii="Arial" w:hAnsi="Arial" w:cs="Arial"/>
                <w:bCs/>
                <w:color w:val="002060"/>
                <w:sz w:val="20"/>
                <w:szCs w:val="20"/>
              </w:rPr>
              <w:t xml:space="preserve"> (en milers d'€)</w:t>
            </w:r>
          </w:p>
        </w:tc>
        <w:tc>
          <w:tcPr>
            <w:tcW w:w="1174" w:type="dxa"/>
            <w:tcBorders>
              <w:top w:val="nil"/>
              <w:left w:val="nil"/>
              <w:bottom w:val="nil"/>
              <w:right w:val="nil"/>
            </w:tcBorders>
            <w:shd w:val="clear" w:color="auto" w:fill="auto"/>
            <w:noWrap/>
            <w:hideMark/>
          </w:tcPr>
          <w:p w:rsidR="00247311" w:rsidRDefault="00247311">
            <w:pPr>
              <w:rPr>
                <w:sz w:val="20"/>
                <w:szCs w:val="20"/>
              </w:rPr>
            </w:pPr>
          </w:p>
        </w:tc>
      </w:tr>
      <w:tr w:rsidR="00247311" w:rsidTr="00C32830">
        <w:trPr>
          <w:trHeight w:val="260"/>
        </w:trPr>
        <w:tc>
          <w:tcPr>
            <w:tcW w:w="4109" w:type="dxa"/>
            <w:tcBorders>
              <w:top w:val="nil"/>
              <w:left w:val="nil"/>
              <w:bottom w:val="nil"/>
              <w:right w:val="nil"/>
            </w:tcBorders>
            <w:shd w:val="clear" w:color="auto" w:fill="auto"/>
            <w:noWrap/>
            <w:hideMark/>
          </w:tcPr>
          <w:p w:rsidR="00247311" w:rsidRDefault="00247311">
            <w:pPr>
              <w:rPr>
                <w:sz w:val="20"/>
                <w:szCs w:val="20"/>
              </w:rPr>
            </w:pPr>
          </w:p>
        </w:tc>
        <w:tc>
          <w:tcPr>
            <w:tcW w:w="1233" w:type="dxa"/>
            <w:tcBorders>
              <w:top w:val="nil"/>
              <w:left w:val="nil"/>
              <w:bottom w:val="nil"/>
              <w:right w:val="nil"/>
            </w:tcBorders>
            <w:shd w:val="clear" w:color="auto" w:fill="auto"/>
            <w:noWrap/>
            <w:hideMark/>
          </w:tcPr>
          <w:p w:rsidR="00247311" w:rsidRDefault="00247311">
            <w:pPr>
              <w:rPr>
                <w:sz w:val="20"/>
                <w:szCs w:val="20"/>
              </w:rPr>
            </w:pPr>
          </w:p>
        </w:tc>
        <w:tc>
          <w:tcPr>
            <w:tcW w:w="1010" w:type="dxa"/>
            <w:tcBorders>
              <w:top w:val="nil"/>
              <w:left w:val="nil"/>
              <w:bottom w:val="nil"/>
              <w:right w:val="nil"/>
            </w:tcBorders>
            <w:shd w:val="clear" w:color="auto" w:fill="auto"/>
            <w:noWrap/>
            <w:hideMark/>
          </w:tcPr>
          <w:p w:rsidR="00247311" w:rsidRDefault="00247311">
            <w:pPr>
              <w:rPr>
                <w:sz w:val="20"/>
                <w:szCs w:val="20"/>
              </w:rPr>
            </w:pPr>
          </w:p>
        </w:tc>
        <w:tc>
          <w:tcPr>
            <w:tcW w:w="1234" w:type="dxa"/>
            <w:tcBorders>
              <w:top w:val="nil"/>
              <w:left w:val="nil"/>
              <w:bottom w:val="nil"/>
              <w:right w:val="nil"/>
            </w:tcBorders>
            <w:shd w:val="clear" w:color="auto" w:fill="auto"/>
            <w:noWrap/>
            <w:hideMark/>
          </w:tcPr>
          <w:p w:rsidR="00247311" w:rsidRDefault="00247311">
            <w:pPr>
              <w:rPr>
                <w:sz w:val="20"/>
                <w:szCs w:val="20"/>
              </w:rPr>
            </w:pPr>
          </w:p>
        </w:tc>
        <w:tc>
          <w:tcPr>
            <w:tcW w:w="1010" w:type="dxa"/>
            <w:tcBorders>
              <w:top w:val="nil"/>
              <w:left w:val="nil"/>
              <w:bottom w:val="nil"/>
              <w:right w:val="nil"/>
            </w:tcBorders>
            <w:shd w:val="clear" w:color="auto" w:fill="auto"/>
            <w:noWrap/>
            <w:hideMark/>
          </w:tcPr>
          <w:p w:rsidR="00247311" w:rsidRDefault="00247311">
            <w:pPr>
              <w:rPr>
                <w:sz w:val="20"/>
                <w:szCs w:val="20"/>
              </w:rPr>
            </w:pPr>
          </w:p>
        </w:tc>
        <w:tc>
          <w:tcPr>
            <w:tcW w:w="1234" w:type="dxa"/>
            <w:tcBorders>
              <w:top w:val="nil"/>
              <w:left w:val="nil"/>
              <w:bottom w:val="nil"/>
              <w:right w:val="nil"/>
            </w:tcBorders>
            <w:shd w:val="clear" w:color="auto" w:fill="auto"/>
            <w:noWrap/>
            <w:hideMark/>
          </w:tcPr>
          <w:p w:rsidR="00247311" w:rsidRDefault="00247311">
            <w:pPr>
              <w:rPr>
                <w:sz w:val="20"/>
                <w:szCs w:val="20"/>
              </w:rPr>
            </w:pPr>
          </w:p>
        </w:tc>
        <w:tc>
          <w:tcPr>
            <w:tcW w:w="1055" w:type="dxa"/>
            <w:tcBorders>
              <w:top w:val="nil"/>
              <w:left w:val="nil"/>
              <w:bottom w:val="nil"/>
              <w:right w:val="nil"/>
            </w:tcBorders>
            <w:shd w:val="clear" w:color="auto" w:fill="auto"/>
            <w:noWrap/>
            <w:hideMark/>
          </w:tcPr>
          <w:p w:rsidR="00247311" w:rsidRDefault="00247311">
            <w:pPr>
              <w:rPr>
                <w:sz w:val="20"/>
                <w:szCs w:val="20"/>
              </w:rPr>
            </w:pPr>
          </w:p>
        </w:tc>
        <w:tc>
          <w:tcPr>
            <w:tcW w:w="1174" w:type="dxa"/>
            <w:tcBorders>
              <w:top w:val="nil"/>
              <w:left w:val="nil"/>
              <w:bottom w:val="nil"/>
              <w:right w:val="nil"/>
            </w:tcBorders>
            <w:shd w:val="clear" w:color="auto" w:fill="auto"/>
            <w:noWrap/>
            <w:hideMark/>
          </w:tcPr>
          <w:p w:rsidR="00247311" w:rsidRDefault="00247311">
            <w:pPr>
              <w:rPr>
                <w:sz w:val="20"/>
                <w:szCs w:val="20"/>
              </w:rPr>
            </w:pPr>
          </w:p>
        </w:tc>
        <w:tc>
          <w:tcPr>
            <w:tcW w:w="965" w:type="dxa"/>
            <w:tcBorders>
              <w:top w:val="nil"/>
              <w:left w:val="nil"/>
              <w:bottom w:val="nil"/>
              <w:right w:val="nil"/>
            </w:tcBorders>
            <w:shd w:val="clear" w:color="auto" w:fill="auto"/>
            <w:noWrap/>
            <w:hideMark/>
          </w:tcPr>
          <w:p w:rsidR="00247311" w:rsidRDefault="00247311">
            <w:pPr>
              <w:rPr>
                <w:sz w:val="20"/>
                <w:szCs w:val="20"/>
              </w:rPr>
            </w:pPr>
          </w:p>
        </w:tc>
        <w:tc>
          <w:tcPr>
            <w:tcW w:w="1174" w:type="dxa"/>
            <w:tcBorders>
              <w:top w:val="nil"/>
              <w:left w:val="nil"/>
              <w:bottom w:val="nil"/>
              <w:right w:val="nil"/>
            </w:tcBorders>
            <w:shd w:val="clear" w:color="auto" w:fill="auto"/>
            <w:noWrap/>
            <w:hideMark/>
          </w:tcPr>
          <w:p w:rsidR="00247311" w:rsidRDefault="00247311">
            <w:pPr>
              <w:rPr>
                <w:sz w:val="20"/>
                <w:szCs w:val="20"/>
              </w:rPr>
            </w:pPr>
          </w:p>
        </w:tc>
      </w:tr>
      <w:tr w:rsidR="00247311" w:rsidTr="00C32830">
        <w:trPr>
          <w:trHeight w:val="260"/>
        </w:trPr>
        <w:tc>
          <w:tcPr>
            <w:tcW w:w="4109" w:type="dxa"/>
            <w:tcBorders>
              <w:top w:val="nil"/>
              <w:left w:val="nil"/>
              <w:bottom w:val="nil"/>
              <w:right w:val="nil"/>
            </w:tcBorders>
            <w:shd w:val="clear" w:color="auto" w:fill="auto"/>
            <w:noWrap/>
            <w:hideMark/>
          </w:tcPr>
          <w:p w:rsidR="00247311" w:rsidRDefault="00247311">
            <w:pPr>
              <w:rPr>
                <w:sz w:val="20"/>
                <w:szCs w:val="20"/>
              </w:rPr>
            </w:pPr>
          </w:p>
        </w:tc>
        <w:tc>
          <w:tcPr>
            <w:tcW w:w="1233" w:type="dxa"/>
            <w:tcBorders>
              <w:top w:val="nil"/>
              <w:left w:val="nil"/>
              <w:bottom w:val="nil"/>
              <w:right w:val="nil"/>
            </w:tcBorders>
            <w:shd w:val="clear" w:color="auto" w:fill="auto"/>
            <w:noWrap/>
            <w:hideMark/>
          </w:tcPr>
          <w:p w:rsidR="00247311" w:rsidRDefault="00247311">
            <w:pPr>
              <w:rPr>
                <w:sz w:val="20"/>
                <w:szCs w:val="20"/>
              </w:rPr>
            </w:pPr>
          </w:p>
        </w:tc>
        <w:tc>
          <w:tcPr>
            <w:tcW w:w="1010" w:type="dxa"/>
            <w:tcBorders>
              <w:top w:val="nil"/>
              <w:left w:val="nil"/>
              <w:bottom w:val="nil"/>
              <w:right w:val="nil"/>
            </w:tcBorders>
            <w:shd w:val="clear" w:color="auto" w:fill="auto"/>
            <w:noWrap/>
            <w:hideMark/>
          </w:tcPr>
          <w:p w:rsidR="00247311" w:rsidRDefault="00247311">
            <w:pPr>
              <w:rPr>
                <w:sz w:val="20"/>
                <w:szCs w:val="20"/>
              </w:rPr>
            </w:pPr>
          </w:p>
        </w:tc>
        <w:tc>
          <w:tcPr>
            <w:tcW w:w="1234" w:type="dxa"/>
            <w:tcBorders>
              <w:top w:val="nil"/>
              <w:left w:val="nil"/>
              <w:bottom w:val="nil"/>
              <w:right w:val="nil"/>
            </w:tcBorders>
            <w:shd w:val="clear" w:color="auto" w:fill="auto"/>
            <w:noWrap/>
            <w:hideMark/>
          </w:tcPr>
          <w:p w:rsidR="00247311" w:rsidRDefault="00247311">
            <w:pPr>
              <w:rPr>
                <w:sz w:val="20"/>
                <w:szCs w:val="20"/>
              </w:rPr>
            </w:pPr>
          </w:p>
        </w:tc>
        <w:tc>
          <w:tcPr>
            <w:tcW w:w="1010" w:type="dxa"/>
            <w:tcBorders>
              <w:top w:val="nil"/>
              <w:left w:val="nil"/>
              <w:bottom w:val="nil"/>
              <w:right w:val="nil"/>
            </w:tcBorders>
            <w:shd w:val="clear" w:color="auto" w:fill="auto"/>
            <w:noWrap/>
            <w:hideMark/>
          </w:tcPr>
          <w:p w:rsidR="00247311" w:rsidRDefault="00247311">
            <w:pPr>
              <w:rPr>
                <w:sz w:val="20"/>
                <w:szCs w:val="20"/>
              </w:rPr>
            </w:pPr>
          </w:p>
        </w:tc>
        <w:tc>
          <w:tcPr>
            <w:tcW w:w="1234" w:type="dxa"/>
            <w:tcBorders>
              <w:top w:val="nil"/>
              <w:left w:val="nil"/>
              <w:bottom w:val="nil"/>
              <w:right w:val="nil"/>
            </w:tcBorders>
            <w:shd w:val="clear" w:color="auto" w:fill="auto"/>
            <w:noWrap/>
            <w:hideMark/>
          </w:tcPr>
          <w:p w:rsidR="00247311" w:rsidRDefault="00247311">
            <w:pPr>
              <w:rPr>
                <w:sz w:val="20"/>
                <w:szCs w:val="20"/>
              </w:rPr>
            </w:pPr>
          </w:p>
        </w:tc>
        <w:tc>
          <w:tcPr>
            <w:tcW w:w="1055" w:type="dxa"/>
            <w:tcBorders>
              <w:top w:val="nil"/>
              <w:left w:val="nil"/>
              <w:bottom w:val="nil"/>
              <w:right w:val="nil"/>
            </w:tcBorders>
            <w:shd w:val="clear" w:color="auto" w:fill="auto"/>
            <w:noWrap/>
            <w:hideMark/>
          </w:tcPr>
          <w:p w:rsidR="00247311" w:rsidRDefault="00247311">
            <w:pPr>
              <w:rPr>
                <w:sz w:val="20"/>
                <w:szCs w:val="20"/>
              </w:rPr>
            </w:pPr>
          </w:p>
        </w:tc>
        <w:tc>
          <w:tcPr>
            <w:tcW w:w="1174" w:type="dxa"/>
            <w:tcBorders>
              <w:top w:val="nil"/>
              <w:left w:val="nil"/>
              <w:bottom w:val="nil"/>
              <w:right w:val="nil"/>
            </w:tcBorders>
            <w:shd w:val="clear" w:color="auto" w:fill="auto"/>
            <w:noWrap/>
            <w:hideMark/>
          </w:tcPr>
          <w:p w:rsidR="00247311" w:rsidRDefault="00247311">
            <w:pPr>
              <w:rPr>
                <w:sz w:val="20"/>
                <w:szCs w:val="20"/>
              </w:rPr>
            </w:pPr>
          </w:p>
        </w:tc>
        <w:tc>
          <w:tcPr>
            <w:tcW w:w="965" w:type="dxa"/>
            <w:tcBorders>
              <w:top w:val="nil"/>
              <w:left w:val="nil"/>
              <w:bottom w:val="nil"/>
              <w:right w:val="nil"/>
            </w:tcBorders>
            <w:shd w:val="clear" w:color="auto" w:fill="auto"/>
            <w:noWrap/>
            <w:hideMark/>
          </w:tcPr>
          <w:p w:rsidR="00247311" w:rsidRDefault="00247311">
            <w:pPr>
              <w:rPr>
                <w:sz w:val="20"/>
                <w:szCs w:val="20"/>
              </w:rPr>
            </w:pPr>
          </w:p>
        </w:tc>
        <w:tc>
          <w:tcPr>
            <w:tcW w:w="1174" w:type="dxa"/>
            <w:tcBorders>
              <w:top w:val="nil"/>
              <w:left w:val="nil"/>
              <w:bottom w:val="nil"/>
              <w:right w:val="nil"/>
            </w:tcBorders>
            <w:shd w:val="clear" w:color="auto" w:fill="auto"/>
            <w:noWrap/>
            <w:hideMark/>
          </w:tcPr>
          <w:p w:rsidR="00247311" w:rsidRDefault="00247311">
            <w:pPr>
              <w:rPr>
                <w:sz w:val="20"/>
                <w:szCs w:val="20"/>
              </w:rPr>
            </w:pPr>
          </w:p>
        </w:tc>
      </w:tr>
      <w:tr w:rsidR="00247311" w:rsidTr="00C32830">
        <w:trPr>
          <w:trHeight w:val="260"/>
        </w:trPr>
        <w:tc>
          <w:tcPr>
            <w:tcW w:w="41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47311" w:rsidRDefault="00247311">
            <w:pPr>
              <w:rPr>
                <w:rFonts w:ascii="Arial" w:hAnsi="Arial" w:cs="Arial"/>
                <w:b/>
                <w:bCs/>
                <w:color w:val="002060"/>
                <w:sz w:val="20"/>
                <w:szCs w:val="20"/>
              </w:rPr>
            </w:pPr>
            <w:r>
              <w:rPr>
                <w:rFonts w:ascii="Arial" w:hAnsi="Arial" w:cs="Arial"/>
                <w:b/>
                <w:bCs/>
                <w:color w:val="002060"/>
                <w:sz w:val="20"/>
                <w:szCs w:val="20"/>
              </w:rPr>
              <w:t>COMPTE DE PÈRDUES I GUANYS</w:t>
            </w:r>
          </w:p>
        </w:tc>
        <w:tc>
          <w:tcPr>
            <w:tcW w:w="2243" w:type="dxa"/>
            <w:gridSpan w:val="2"/>
            <w:tcBorders>
              <w:top w:val="single" w:sz="4" w:space="0" w:color="auto"/>
              <w:left w:val="nil"/>
              <w:bottom w:val="single" w:sz="4" w:space="0" w:color="auto"/>
              <w:right w:val="single" w:sz="4" w:space="0" w:color="auto"/>
            </w:tcBorders>
            <w:shd w:val="clear" w:color="auto" w:fill="auto"/>
            <w:noWrap/>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2019</w:t>
            </w:r>
          </w:p>
        </w:tc>
        <w:tc>
          <w:tcPr>
            <w:tcW w:w="2244" w:type="dxa"/>
            <w:gridSpan w:val="2"/>
            <w:tcBorders>
              <w:top w:val="single" w:sz="4" w:space="0" w:color="auto"/>
              <w:left w:val="nil"/>
              <w:bottom w:val="single" w:sz="4" w:space="0" w:color="auto"/>
              <w:right w:val="single" w:sz="4" w:space="0" w:color="auto"/>
            </w:tcBorders>
            <w:shd w:val="clear" w:color="auto" w:fill="auto"/>
            <w:noWrap/>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2018</w:t>
            </w:r>
          </w:p>
        </w:tc>
        <w:tc>
          <w:tcPr>
            <w:tcW w:w="2289" w:type="dxa"/>
            <w:gridSpan w:val="2"/>
            <w:tcBorders>
              <w:top w:val="single" w:sz="4" w:space="0" w:color="auto"/>
              <w:left w:val="nil"/>
              <w:bottom w:val="single" w:sz="4" w:space="0" w:color="auto"/>
              <w:right w:val="single" w:sz="4" w:space="0" w:color="auto"/>
            </w:tcBorders>
            <w:shd w:val="clear" w:color="auto" w:fill="auto"/>
            <w:noWrap/>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2017</w:t>
            </w:r>
          </w:p>
        </w:tc>
        <w:tc>
          <w:tcPr>
            <w:tcW w:w="2139" w:type="dxa"/>
            <w:gridSpan w:val="2"/>
            <w:tcBorders>
              <w:top w:val="single" w:sz="4" w:space="0" w:color="auto"/>
              <w:left w:val="nil"/>
              <w:bottom w:val="single" w:sz="4" w:space="0" w:color="auto"/>
              <w:right w:val="single" w:sz="4" w:space="0" w:color="auto"/>
            </w:tcBorders>
            <w:shd w:val="clear" w:color="auto" w:fill="auto"/>
            <w:noWrap/>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2016</w:t>
            </w:r>
          </w:p>
        </w:tc>
        <w:tc>
          <w:tcPr>
            <w:tcW w:w="1174" w:type="dxa"/>
            <w:tcBorders>
              <w:top w:val="single" w:sz="4" w:space="0" w:color="auto"/>
              <w:left w:val="nil"/>
              <w:bottom w:val="single" w:sz="4" w:space="0" w:color="auto"/>
              <w:right w:val="single" w:sz="4" w:space="0" w:color="auto"/>
            </w:tcBorders>
            <w:shd w:val="clear" w:color="auto" w:fill="auto"/>
            <w:noWrap/>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2015</w:t>
            </w:r>
          </w:p>
        </w:tc>
      </w:tr>
      <w:tr w:rsidR="00247311" w:rsidTr="00C32830">
        <w:trPr>
          <w:trHeight w:val="260"/>
        </w:trPr>
        <w:tc>
          <w:tcPr>
            <w:tcW w:w="4109" w:type="dxa"/>
            <w:vMerge/>
            <w:tcBorders>
              <w:top w:val="single" w:sz="4" w:space="0" w:color="auto"/>
              <w:left w:val="single" w:sz="4" w:space="0" w:color="auto"/>
              <w:bottom w:val="single" w:sz="4" w:space="0" w:color="000000"/>
              <w:right w:val="single" w:sz="4" w:space="0" w:color="auto"/>
            </w:tcBorders>
            <w:hideMark/>
          </w:tcPr>
          <w:p w:rsidR="00247311" w:rsidRDefault="00247311">
            <w:pPr>
              <w:rPr>
                <w:rFonts w:ascii="Arial" w:hAnsi="Arial" w:cs="Arial"/>
                <w:b/>
                <w:bCs/>
                <w:color w:val="002060"/>
                <w:sz w:val="20"/>
                <w:szCs w:val="20"/>
              </w:rPr>
            </w:pPr>
          </w:p>
        </w:tc>
        <w:tc>
          <w:tcPr>
            <w:tcW w:w="1233" w:type="dxa"/>
            <w:tcBorders>
              <w:top w:val="nil"/>
              <w:left w:val="nil"/>
              <w:bottom w:val="single" w:sz="4" w:space="0" w:color="auto"/>
              <w:right w:val="single" w:sz="4" w:space="0" w:color="auto"/>
            </w:tcBorders>
            <w:shd w:val="clear" w:color="auto" w:fill="auto"/>
            <w:noWrap/>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milers d'€</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milers d'€</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milers d'€</w:t>
            </w:r>
          </w:p>
        </w:tc>
        <w:tc>
          <w:tcPr>
            <w:tcW w:w="1055" w:type="dxa"/>
            <w:tcBorders>
              <w:top w:val="nil"/>
              <w:left w:val="nil"/>
              <w:bottom w:val="single" w:sz="4" w:space="0" w:color="auto"/>
              <w:right w:val="single" w:sz="4" w:space="0" w:color="auto"/>
            </w:tcBorders>
            <w:shd w:val="clear" w:color="auto" w:fill="auto"/>
            <w:noWrap/>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milers d'€</w:t>
            </w:r>
          </w:p>
        </w:tc>
        <w:tc>
          <w:tcPr>
            <w:tcW w:w="965" w:type="dxa"/>
            <w:tcBorders>
              <w:top w:val="nil"/>
              <w:left w:val="nil"/>
              <w:bottom w:val="single" w:sz="4" w:space="0" w:color="auto"/>
              <w:right w:val="single" w:sz="4" w:space="0" w:color="auto"/>
            </w:tcBorders>
            <w:shd w:val="clear" w:color="auto" w:fill="auto"/>
            <w:noWrap/>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jc w:val="center"/>
              <w:rPr>
                <w:rFonts w:ascii="Arial" w:hAnsi="Arial" w:cs="Arial"/>
                <w:b/>
                <w:bCs/>
                <w:color w:val="002060"/>
                <w:sz w:val="20"/>
                <w:szCs w:val="20"/>
              </w:rPr>
            </w:pPr>
            <w:r>
              <w:rPr>
                <w:rFonts w:ascii="Arial" w:hAnsi="Arial" w:cs="Arial"/>
                <w:b/>
                <w:bCs/>
                <w:color w:val="002060"/>
                <w:sz w:val="20"/>
                <w:szCs w:val="20"/>
              </w:rPr>
              <w:t>milers d'€</w:t>
            </w:r>
          </w:p>
        </w:tc>
      </w:tr>
      <w:tr w:rsidR="00247311" w:rsidTr="00C32830">
        <w:trPr>
          <w:trHeight w:val="260"/>
        </w:trPr>
        <w:tc>
          <w:tcPr>
            <w:tcW w:w="4109" w:type="dxa"/>
            <w:tcBorders>
              <w:top w:val="nil"/>
              <w:left w:val="single" w:sz="4" w:space="0" w:color="auto"/>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Import net de la xifra de negocis</w:t>
            </w:r>
          </w:p>
        </w:tc>
        <w:tc>
          <w:tcPr>
            <w:tcW w:w="1233"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277.175</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7,93%</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256.800</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5,76%</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242.815</w:t>
            </w:r>
          </w:p>
        </w:tc>
        <w:tc>
          <w:tcPr>
            <w:tcW w:w="1055"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9,10%</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222.561</w:t>
            </w:r>
          </w:p>
        </w:tc>
        <w:tc>
          <w:tcPr>
            <w:tcW w:w="965"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11,40%</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199.784</w:t>
            </w:r>
          </w:p>
        </w:tc>
      </w:tr>
      <w:tr w:rsidR="00247311" w:rsidTr="00C32830">
        <w:trPr>
          <w:trHeight w:val="260"/>
        </w:trPr>
        <w:tc>
          <w:tcPr>
            <w:tcW w:w="4109" w:type="dxa"/>
            <w:tcBorders>
              <w:top w:val="nil"/>
              <w:left w:val="single" w:sz="4" w:space="0" w:color="auto"/>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Aprovisionaments</w:t>
            </w:r>
          </w:p>
        </w:tc>
        <w:tc>
          <w:tcPr>
            <w:tcW w:w="1233"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-62.684</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6,41%</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-58.906</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10,21%</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-53.448</w:t>
            </w:r>
          </w:p>
        </w:tc>
        <w:tc>
          <w:tcPr>
            <w:tcW w:w="1055"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-7,63%</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-57.866</w:t>
            </w:r>
          </w:p>
        </w:tc>
        <w:tc>
          <w:tcPr>
            <w:tcW w:w="965"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10,97%</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-52.147</w:t>
            </w:r>
          </w:p>
        </w:tc>
      </w:tr>
      <w:tr w:rsidR="00247311" w:rsidTr="00C32830">
        <w:trPr>
          <w:trHeight w:val="260"/>
        </w:trPr>
        <w:tc>
          <w:tcPr>
            <w:tcW w:w="4109" w:type="dxa"/>
            <w:tcBorders>
              <w:top w:val="nil"/>
              <w:left w:val="single" w:sz="4" w:space="0" w:color="auto"/>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Altres ingressos d'explotació</w:t>
            </w:r>
          </w:p>
        </w:tc>
        <w:tc>
          <w:tcPr>
            <w:tcW w:w="1233"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5.676</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89,83%</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2.990</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53,57%</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1.947</w:t>
            </w:r>
          </w:p>
        </w:tc>
        <w:tc>
          <w:tcPr>
            <w:tcW w:w="1055"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81,45%</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1.073</w:t>
            </w:r>
          </w:p>
        </w:tc>
        <w:tc>
          <w:tcPr>
            <w:tcW w:w="965"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-37,83%</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1.726</w:t>
            </w:r>
          </w:p>
        </w:tc>
      </w:tr>
      <w:tr w:rsidR="00247311" w:rsidTr="00C32830">
        <w:trPr>
          <w:trHeight w:val="260"/>
        </w:trPr>
        <w:tc>
          <w:tcPr>
            <w:tcW w:w="4109" w:type="dxa"/>
            <w:tcBorders>
              <w:top w:val="nil"/>
              <w:left w:val="single" w:sz="4" w:space="0" w:color="auto"/>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Despeses de personal</w:t>
            </w:r>
          </w:p>
        </w:tc>
        <w:tc>
          <w:tcPr>
            <w:tcW w:w="1233"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-83.062</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12,70%</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-73.703</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13,11%</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-65.159</w:t>
            </w:r>
          </w:p>
        </w:tc>
        <w:tc>
          <w:tcPr>
            <w:tcW w:w="1055"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16,07%</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-56.139</w:t>
            </w:r>
          </w:p>
        </w:tc>
        <w:tc>
          <w:tcPr>
            <w:tcW w:w="965"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18,45%</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-47.395</w:t>
            </w:r>
          </w:p>
        </w:tc>
      </w:tr>
      <w:tr w:rsidR="00247311" w:rsidTr="00C32830">
        <w:trPr>
          <w:trHeight w:val="260"/>
        </w:trPr>
        <w:tc>
          <w:tcPr>
            <w:tcW w:w="4109" w:type="dxa"/>
            <w:tcBorders>
              <w:top w:val="nil"/>
              <w:left w:val="single" w:sz="4" w:space="0" w:color="auto"/>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Altres despeses d'explotació</w:t>
            </w:r>
          </w:p>
        </w:tc>
        <w:tc>
          <w:tcPr>
            <w:tcW w:w="1233"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-73.517</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1,97%</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-72.095</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1,98%</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-70.695</w:t>
            </w:r>
          </w:p>
        </w:tc>
        <w:tc>
          <w:tcPr>
            <w:tcW w:w="1055"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8,86%</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-64.942</w:t>
            </w:r>
          </w:p>
        </w:tc>
        <w:tc>
          <w:tcPr>
            <w:tcW w:w="965"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16,11%</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-55.933</w:t>
            </w:r>
          </w:p>
        </w:tc>
      </w:tr>
      <w:tr w:rsidR="00247311" w:rsidTr="00C32830">
        <w:trPr>
          <w:trHeight w:val="260"/>
        </w:trPr>
        <w:tc>
          <w:tcPr>
            <w:tcW w:w="4109" w:type="dxa"/>
            <w:tcBorders>
              <w:top w:val="nil"/>
              <w:left w:val="single" w:sz="4" w:space="0" w:color="auto"/>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Amortització de l'immobilitzat</w:t>
            </w:r>
          </w:p>
        </w:tc>
        <w:tc>
          <w:tcPr>
            <w:tcW w:w="1233"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-16.543</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19,06%</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-13.895</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10,49%</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-12.576</w:t>
            </w:r>
          </w:p>
        </w:tc>
        <w:tc>
          <w:tcPr>
            <w:tcW w:w="1055"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34,91%</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-9.322</w:t>
            </w:r>
          </w:p>
        </w:tc>
        <w:tc>
          <w:tcPr>
            <w:tcW w:w="965"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3,60%</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-8.998</w:t>
            </w:r>
          </w:p>
        </w:tc>
      </w:tr>
      <w:tr w:rsidR="00247311" w:rsidTr="00C32830">
        <w:trPr>
          <w:trHeight w:val="260"/>
        </w:trPr>
        <w:tc>
          <w:tcPr>
            <w:tcW w:w="4109" w:type="dxa"/>
            <w:tcBorders>
              <w:top w:val="nil"/>
              <w:left w:val="single" w:sz="4" w:space="0" w:color="auto"/>
              <w:bottom w:val="single" w:sz="4" w:space="0" w:color="auto"/>
              <w:right w:val="single" w:sz="4" w:space="0" w:color="auto"/>
            </w:tcBorders>
            <w:shd w:val="clear" w:color="000000" w:fill="E7E6E6"/>
            <w:noWrap/>
            <w:hideMark/>
          </w:tcPr>
          <w:p w:rsidR="00247311" w:rsidRDefault="00247311">
            <w:pPr>
              <w:rPr>
                <w:rFonts w:ascii="Arial" w:hAnsi="Arial" w:cs="Arial"/>
                <w:b/>
                <w:bCs/>
                <w:color w:val="002060"/>
                <w:sz w:val="20"/>
                <w:szCs w:val="20"/>
              </w:rPr>
            </w:pPr>
            <w:r>
              <w:rPr>
                <w:rFonts w:ascii="Arial" w:hAnsi="Arial" w:cs="Arial"/>
                <w:b/>
                <w:bCs/>
                <w:color w:val="002060"/>
                <w:sz w:val="20"/>
                <w:szCs w:val="20"/>
              </w:rPr>
              <w:t>Resultat d'explotació</w:t>
            </w:r>
          </w:p>
        </w:tc>
        <w:tc>
          <w:tcPr>
            <w:tcW w:w="1233"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47.045</w:t>
            </w:r>
          </w:p>
        </w:tc>
        <w:tc>
          <w:tcPr>
            <w:tcW w:w="1010"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14,21%</w:t>
            </w:r>
          </w:p>
        </w:tc>
        <w:tc>
          <w:tcPr>
            <w:tcW w:w="1234"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41.191</w:t>
            </w:r>
          </w:p>
        </w:tc>
        <w:tc>
          <w:tcPr>
            <w:tcW w:w="1010"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-3,95%</w:t>
            </w:r>
          </w:p>
        </w:tc>
        <w:tc>
          <w:tcPr>
            <w:tcW w:w="1234"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42.884</w:t>
            </w:r>
          </w:p>
        </w:tc>
        <w:tc>
          <w:tcPr>
            <w:tcW w:w="1055"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21,26%</w:t>
            </w:r>
          </w:p>
        </w:tc>
        <w:tc>
          <w:tcPr>
            <w:tcW w:w="1174"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35.365</w:t>
            </w:r>
          </w:p>
        </w:tc>
        <w:tc>
          <w:tcPr>
            <w:tcW w:w="965"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-4,51%</w:t>
            </w:r>
          </w:p>
        </w:tc>
        <w:tc>
          <w:tcPr>
            <w:tcW w:w="1174"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37.037</w:t>
            </w:r>
          </w:p>
        </w:tc>
      </w:tr>
      <w:tr w:rsidR="00247311" w:rsidTr="00C32830">
        <w:trPr>
          <w:trHeight w:val="260"/>
        </w:trPr>
        <w:tc>
          <w:tcPr>
            <w:tcW w:w="4109" w:type="dxa"/>
            <w:tcBorders>
              <w:top w:val="nil"/>
              <w:left w:val="single" w:sz="4" w:space="0" w:color="auto"/>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1233" w:type="dxa"/>
            <w:tcBorders>
              <w:top w:val="nil"/>
              <w:left w:val="nil"/>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1055" w:type="dxa"/>
            <w:tcBorders>
              <w:top w:val="nil"/>
              <w:left w:val="nil"/>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965" w:type="dxa"/>
            <w:tcBorders>
              <w:top w:val="nil"/>
              <w:left w:val="nil"/>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 </w:t>
            </w:r>
          </w:p>
        </w:tc>
      </w:tr>
      <w:tr w:rsidR="00247311" w:rsidTr="00C32830">
        <w:trPr>
          <w:trHeight w:val="260"/>
        </w:trPr>
        <w:tc>
          <w:tcPr>
            <w:tcW w:w="4109" w:type="dxa"/>
            <w:tcBorders>
              <w:top w:val="nil"/>
              <w:left w:val="single" w:sz="4" w:space="0" w:color="auto"/>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Ingressos financers</w:t>
            </w:r>
          </w:p>
        </w:tc>
        <w:tc>
          <w:tcPr>
            <w:tcW w:w="1233"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340</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26,39%</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269</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-43,61%</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477</w:t>
            </w:r>
          </w:p>
        </w:tc>
        <w:tc>
          <w:tcPr>
            <w:tcW w:w="1055"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17,78%</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405</w:t>
            </w:r>
          </w:p>
        </w:tc>
        <w:tc>
          <w:tcPr>
            <w:tcW w:w="965"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-8,99%</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445</w:t>
            </w:r>
          </w:p>
        </w:tc>
      </w:tr>
      <w:tr w:rsidR="00247311" w:rsidTr="00C32830">
        <w:trPr>
          <w:trHeight w:val="260"/>
        </w:trPr>
        <w:tc>
          <w:tcPr>
            <w:tcW w:w="4109" w:type="dxa"/>
            <w:tcBorders>
              <w:top w:val="nil"/>
              <w:left w:val="single" w:sz="4" w:space="0" w:color="auto"/>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Despeses financeres</w:t>
            </w:r>
          </w:p>
        </w:tc>
        <w:tc>
          <w:tcPr>
            <w:tcW w:w="1233"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-751</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-55,00%</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-1.669</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-45,97%</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-3.089</w:t>
            </w:r>
          </w:p>
        </w:tc>
        <w:tc>
          <w:tcPr>
            <w:tcW w:w="1055"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1111,37%</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-255</w:t>
            </w:r>
          </w:p>
        </w:tc>
        <w:tc>
          <w:tcPr>
            <w:tcW w:w="965"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-75,12%</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-1.025</w:t>
            </w:r>
          </w:p>
        </w:tc>
      </w:tr>
      <w:tr w:rsidR="00247311" w:rsidTr="00C32830">
        <w:trPr>
          <w:trHeight w:val="260"/>
        </w:trPr>
        <w:tc>
          <w:tcPr>
            <w:tcW w:w="4109" w:type="dxa"/>
            <w:tcBorders>
              <w:top w:val="nil"/>
              <w:left w:val="single" w:sz="4" w:space="0" w:color="auto"/>
              <w:bottom w:val="single" w:sz="4" w:space="0" w:color="auto"/>
              <w:right w:val="single" w:sz="4" w:space="0" w:color="auto"/>
            </w:tcBorders>
            <w:shd w:val="clear" w:color="000000" w:fill="E7E6E6"/>
            <w:noWrap/>
            <w:hideMark/>
          </w:tcPr>
          <w:p w:rsidR="00247311" w:rsidRDefault="00247311">
            <w:pPr>
              <w:rPr>
                <w:rFonts w:ascii="Arial" w:hAnsi="Arial" w:cs="Arial"/>
                <w:b/>
                <w:bCs/>
                <w:color w:val="002060"/>
                <w:sz w:val="20"/>
                <w:szCs w:val="20"/>
              </w:rPr>
            </w:pPr>
            <w:r>
              <w:rPr>
                <w:rFonts w:ascii="Arial" w:hAnsi="Arial" w:cs="Arial"/>
                <w:b/>
                <w:bCs/>
                <w:color w:val="002060"/>
                <w:sz w:val="20"/>
                <w:szCs w:val="20"/>
              </w:rPr>
              <w:t>Resultat financer</w:t>
            </w:r>
          </w:p>
        </w:tc>
        <w:tc>
          <w:tcPr>
            <w:tcW w:w="1233"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-411</w:t>
            </w:r>
          </w:p>
        </w:tc>
        <w:tc>
          <w:tcPr>
            <w:tcW w:w="1010"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-70,64%</w:t>
            </w:r>
          </w:p>
        </w:tc>
        <w:tc>
          <w:tcPr>
            <w:tcW w:w="1234"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-1.400</w:t>
            </w:r>
          </w:p>
        </w:tc>
        <w:tc>
          <w:tcPr>
            <w:tcW w:w="1010"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-46,40%</w:t>
            </w:r>
          </w:p>
        </w:tc>
        <w:tc>
          <w:tcPr>
            <w:tcW w:w="1234"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-2.612</w:t>
            </w:r>
          </w:p>
        </w:tc>
        <w:tc>
          <w:tcPr>
            <w:tcW w:w="1055"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-1841,33%</w:t>
            </w:r>
          </w:p>
        </w:tc>
        <w:tc>
          <w:tcPr>
            <w:tcW w:w="1174"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150</w:t>
            </w:r>
          </w:p>
        </w:tc>
        <w:tc>
          <w:tcPr>
            <w:tcW w:w="965"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-125,86%</w:t>
            </w:r>
          </w:p>
        </w:tc>
        <w:tc>
          <w:tcPr>
            <w:tcW w:w="1174"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-580</w:t>
            </w:r>
          </w:p>
        </w:tc>
      </w:tr>
      <w:tr w:rsidR="00247311" w:rsidTr="00C32830">
        <w:trPr>
          <w:trHeight w:val="260"/>
        </w:trPr>
        <w:tc>
          <w:tcPr>
            <w:tcW w:w="4109" w:type="dxa"/>
            <w:tcBorders>
              <w:top w:val="nil"/>
              <w:left w:val="single" w:sz="4" w:space="0" w:color="auto"/>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1233" w:type="dxa"/>
            <w:tcBorders>
              <w:top w:val="nil"/>
              <w:left w:val="nil"/>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1055" w:type="dxa"/>
            <w:tcBorders>
              <w:top w:val="nil"/>
              <w:left w:val="nil"/>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965" w:type="dxa"/>
            <w:tcBorders>
              <w:top w:val="nil"/>
              <w:left w:val="nil"/>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 </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 </w:t>
            </w:r>
          </w:p>
        </w:tc>
      </w:tr>
      <w:tr w:rsidR="00247311" w:rsidTr="00C32830">
        <w:trPr>
          <w:trHeight w:val="260"/>
        </w:trPr>
        <w:tc>
          <w:tcPr>
            <w:tcW w:w="4109" w:type="dxa"/>
            <w:tcBorders>
              <w:top w:val="nil"/>
              <w:left w:val="single" w:sz="4" w:space="0" w:color="auto"/>
              <w:bottom w:val="single" w:sz="4" w:space="0" w:color="auto"/>
              <w:right w:val="single" w:sz="4" w:space="0" w:color="auto"/>
            </w:tcBorders>
            <w:shd w:val="clear" w:color="000000" w:fill="E7E6E6"/>
            <w:noWrap/>
            <w:hideMark/>
          </w:tcPr>
          <w:p w:rsidR="00247311" w:rsidRDefault="00247311">
            <w:pPr>
              <w:rPr>
                <w:rFonts w:ascii="Arial" w:hAnsi="Arial" w:cs="Arial"/>
                <w:b/>
                <w:bCs/>
                <w:color w:val="002060"/>
                <w:sz w:val="20"/>
                <w:szCs w:val="20"/>
              </w:rPr>
            </w:pPr>
            <w:r>
              <w:rPr>
                <w:rFonts w:ascii="Arial" w:hAnsi="Arial" w:cs="Arial"/>
                <w:b/>
                <w:bCs/>
                <w:color w:val="002060"/>
                <w:sz w:val="20"/>
                <w:szCs w:val="20"/>
              </w:rPr>
              <w:t>Resultat abans d'impostos</w:t>
            </w:r>
          </w:p>
        </w:tc>
        <w:tc>
          <w:tcPr>
            <w:tcW w:w="1233"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46.634</w:t>
            </w:r>
          </w:p>
        </w:tc>
        <w:tc>
          <w:tcPr>
            <w:tcW w:w="1010"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17,20%</w:t>
            </w:r>
          </w:p>
        </w:tc>
        <w:tc>
          <w:tcPr>
            <w:tcW w:w="1234"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39.791</w:t>
            </w:r>
          </w:p>
        </w:tc>
        <w:tc>
          <w:tcPr>
            <w:tcW w:w="1010"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-1,19%</w:t>
            </w:r>
          </w:p>
        </w:tc>
        <w:tc>
          <w:tcPr>
            <w:tcW w:w="1234"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40.272</w:t>
            </w:r>
          </w:p>
        </w:tc>
        <w:tc>
          <w:tcPr>
            <w:tcW w:w="1055"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13,39%</w:t>
            </w:r>
          </w:p>
        </w:tc>
        <w:tc>
          <w:tcPr>
            <w:tcW w:w="1174"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35.515</w:t>
            </w:r>
          </w:p>
        </w:tc>
        <w:tc>
          <w:tcPr>
            <w:tcW w:w="965"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-2,58%</w:t>
            </w:r>
          </w:p>
        </w:tc>
        <w:tc>
          <w:tcPr>
            <w:tcW w:w="1174"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36.457</w:t>
            </w:r>
          </w:p>
        </w:tc>
      </w:tr>
      <w:tr w:rsidR="00247311" w:rsidTr="00C32830">
        <w:trPr>
          <w:trHeight w:val="260"/>
        </w:trPr>
        <w:tc>
          <w:tcPr>
            <w:tcW w:w="4109" w:type="dxa"/>
            <w:tcBorders>
              <w:top w:val="nil"/>
              <w:left w:val="single" w:sz="4" w:space="0" w:color="auto"/>
              <w:bottom w:val="single" w:sz="4" w:space="0" w:color="auto"/>
              <w:right w:val="single" w:sz="4" w:space="0" w:color="auto"/>
            </w:tcBorders>
            <w:shd w:val="clear" w:color="auto" w:fill="auto"/>
            <w:noWrap/>
            <w:hideMark/>
          </w:tcPr>
          <w:p w:rsidR="00247311" w:rsidRDefault="00247311">
            <w:pPr>
              <w:rPr>
                <w:rFonts w:ascii="Arial" w:hAnsi="Arial" w:cs="Arial"/>
                <w:color w:val="002060"/>
                <w:sz w:val="20"/>
                <w:szCs w:val="20"/>
              </w:rPr>
            </w:pPr>
            <w:r>
              <w:rPr>
                <w:rFonts w:ascii="Arial" w:hAnsi="Arial" w:cs="Arial"/>
                <w:color w:val="002060"/>
                <w:sz w:val="20"/>
                <w:szCs w:val="20"/>
              </w:rPr>
              <w:t>Impostos sobre beneficis</w:t>
            </w:r>
          </w:p>
        </w:tc>
        <w:tc>
          <w:tcPr>
            <w:tcW w:w="1233"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6.572</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31,55%</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4.996</w:t>
            </w:r>
          </w:p>
        </w:tc>
        <w:tc>
          <w:tcPr>
            <w:tcW w:w="1010"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-26,88%</w:t>
            </w:r>
          </w:p>
        </w:tc>
        <w:tc>
          <w:tcPr>
            <w:tcW w:w="123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6.833</w:t>
            </w:r>
          </w:p>
        </w:tc>
        <w:tc>
          <w:tcPr>
            <w:tcW w:w="1055"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10,84%</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6.165</w:t>
            </w:r>
          </w:p>
        </w:tc>
        <w:tc>
          <w:tcPr>
            <w:tcW w:w="965"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-18,29%</w:t>
            </w:r>
          </w:p>
        </w:tc>
        <w:tc>
          <w:tcPr>
            <w:tcW w:w="1174" w:type="dxa"/>
            <w:tcBorders>
              <w:top w:val="nil"/>
              <w:left w:val="nil"/>
              <w:bottom w:val="single" w:sz="4" w:space="0" w:color="auto"/>
              <w:right w:val="single" w:sz="4" w:space="0" w:color="auto"/>
            </w:tcBorders>
            <w:shd w:val="clear" w:color="auto" w:fill="auto"/>
            <w:noWrap/>
            <w:hideMark/>
          </w:tcPr>
          <w:p w:rsidR="00247311" w:rsidRDefault="00247311">
            <w:pPr>
              <w:jc w:val="right"/>
              <w:rPr>
                <w:rFonts w:ascii="Arial" w:hAnsi="Arial" w:cs="Arial"/>
                <w:color w:val="002060"/>
                <w:sz w:val="20"/>
                <w:szCs w:val="20"/>
              </w:rPr>
            </w:pPr>
            <w:r>
              <w:rPr>
                <w:rFonts w:ascii="Arial" w:hAnsi="Arial" w:cs="Arial"/>
                <w:color w:val="002060"/>
                <w:sz w:val="20"/>
                <w:szCs w:val="20"/>
              </w:rPr>
              <w:t>7.545</w:t>
            </w:r>
          </w:p>
        </w:tc>
      </w:tr>
      <w:tr w:rsidR="00247311" w:rsidTr="00C32830">
        <w:trPr>
          <w:trHeight w:val="260"/>
        </w:trPr>
        <w:tc>
          <w:tcPr>
            <w:tcW w:w="4109" w:type="dxa"/>
            <w:tcBorders>
              <w:top w:val="nil"/>
              <w:left w:val="single" w:sz="4" w:space="0" w:color="auto"/>
              <w:bottom w:val="single" w:sz="4" w:space="0" w:color="auto"/>
              <w:right w:val="single" w:sz="4" w:space="0" w:color="auto"/>
            </w:tcBorders>
            <w:shd w:val="clear" w:color="000000" w:fill="E7E6E6"/>
            <w:noWrap/>
            <w:hideMark/>
          </w:tcPr>
          <w:p w:rsidR="00247311" w:rsidRDefault="00247311">
            <w:pPr>
              <w:rPr>
                <w:rFonts w:ascii="Arial" w:hAnsi="Arial" w:cs="Arial"/>
                <w:b/>
                <w:bCs/>
                <w:color w:val="002060"/>
                <w:sz w:val="20"/>
                <w:szCs w:val="20"/>
              </w:rPr>
            </w:pPr>
            <w:r>
              <w:rPr>
                <w:rFonts w:ascii="Arial" w:hAnsi="Arial" w:cs="Arial"/>
                <w:b/>
                <w:bCs/>
                <w:color w:val="002060"/>
                <w:sz w:val="20"/>
                <w:szCs w:val="20"/>
              </w:rPr>
              <w:t>RESULTAT DE L'EXERCICI</w:t>
            </w:r>
          </w:p>
        </w:tc>
        <w:tc>
          <w:tcPr>
            <w:tcW w:w="1233"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40.062</w:t>
            </w:r>
          </w:p>
        </w:tc>
        <w:tc>
          <w:tcPr>
            <w:tcW w:w="1010"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15,14%</w:t>
            </w:r>
          </w:p>
        </w:tc>
        <w:tc>
          <w:tcPr>
            <w:tcW w:w="1234"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34.795</w:t>
            </w:r>
          </w:p>
        </w:tc>
        <w:tc>
          <w:tcPr>
            <w:tcW w:w="1010"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4,06%</w:t>
            </w:r>
          </w:p>
        </w:tc>
        <w:tc>
          <w:tcPr>
            <w:tcW w:w="1234"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33.439</w:t>
            </w:r>
          </w:p>
        </w:tc>
        <w:tc>
          <w:tcPr>
            <w:tcW w:w="1055"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13,93%</w:t>
            </w:r>
          </w:p>
        </w:tc>
        <w:tc>
          <w:tcPr>
            <w:tcW w:w="1174"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29.350</w:t>
            </w:r>
          </w:p>
        </w:tc>
        <w:tc>
          <w:tcPr>
            <w:tcW w:w="965"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1,51%</w:t>
            </w:r>
          </w:p>
        </w:tc>
        <w:tc>
          <w:tcPr>
            <w:tcW w:w="1174" w:type="dxa"/>
            <w:tcBorders>
              <w:top w:val="nil"/>
              <w:left w:val="nil"/>
              <w:bottom w:val="single" w:sz="4" w:space="0" w:color="auto"/>
              <w:right w:val="single" w:sz="4" w:space="0" w:color="auto"/>
            </w:tcBorders>
            <w:shd w:val="clear" w:color="000000" w:fill="E7E6E6"/>
            <w:noWrap/>
            <w:hideMark/>
          </w:tcPr>
          <w:p w:rsidR="00247311" w:rsidRDefault="00247311">
            <w:pPr>
              <w:jc w:val="right"/>
              <w:rPr>
                <w:rFonts w:ascii="Arial" w:hAnsi="Arial" w:cs="Arial"/>
                <w:b/>
                <w:bCs/>
                <w:color w:val="002060"/>
                <w:sz w:val="20"/>
                <w:szCs w:val="20"/>
              </w:rPr>
            </w:pPr>
            <w:r>
              <w:rPr>
                <w:rFonts w:ascii="Arial" w:hAnsi="Arial" w:cs="Arial"/>
                <w:b/>
                <w:bCs/>
                <w:color w:val="002060"/>
                <w:sz w:val="20"/>
                <w:szCs w:val="20"/>
              </w:rPr>
              <w:t>28.912</w:t>
            </w:r>
          </w:p>
        </w:tc>
      </w:tr>
    </w:tbl>
    <w:p w:rsidR="00002C89" w:rsidRDefault="00002C89" w:rsidP="002D48FA">
      <w:pPr>
        <w:jc w:val="both"/>
        <w:rPr>
          <w:rFonts w:ascii="Arial" w:hAnsi="Arial" w:cs="Arial"/>
          <w:color w:val="000361"/>
          <w:sz w:val="20"/>
          <w:szCs w:val="20"/>
        </w:rPr>
      </w:pPr>
    </w:p>
    <w:p w:rsidR="00002C89" w:rsidRPr="00A12F82" w:rsidRDefault="00002C89" w:rsidP="00002C89">
      <w:pPr>
        <w:pStyle w:val="Prrafodelista"/>
        <w:ind w:left="0"/>
        <w:jc w:val="both"/>
        <w:rPr>
          <w:rFonts w:ascii="Arial" w:hAnsi="Arial" w:cs="Arial"/>
          <w:color w:val="000361"/>
          <w:sz w:val="14"/>
          <w:szCs w:val="14"/>
        </w:rPr>
      </w:pPr>
      <w:r w:rsidRPr="00A12F82">
        <w:rPr>
          <w:rFonts w:ascii="Arial" w:hAnsi="Arial" w:cs="Arial"/>
          <w:color w:val="002060"/>
          <w:sz w:val="14"/>
          <w:szCs w:val="14"/>
        </w:rPr>
        <w:t>Font: Elaboració pròpia a partir del compte de pèrdues i guanys de Laboratoris Hipra (2015-2019)</w:t>
      </w:r>
    </w:p>
    <w:p w:rsidR="00EA2E31" w:rsidRDefault="00EA2E31" w:rsidP="002D48FA">
      <w:pPr>
        <w:jc w:val="both"/>
        <w:rPr>
          <w:rFonts w:ascii="Arial" w:hAnsi="Arial" w:cs="Arial"/>
          <w:color w:val="000361"/>
          <w:sz w:val="20"/>
          <w:szCs w:val="20"/>
        </w:rPr>
      </w:pPr>
      <w:r>
        <w:rPr>
          <w:rFonts w:ascii="Arial" w:hAnsi="Arial" w:cs="Arial"/>
          <w:color w:val="000361"/>
          <w:sz w:val="20"/>
          <w:szCs w:val="20"/>
        </w:rPr>
        <w:br w:type="page"/>
      </w:r>
    </w:p>
    <w:p w:rsidR="00EA2E31" w:rsidRDefault="00EA2E31" w:rsidP="002D48FA">
      <w:pPr>
        <w:jc w:val="both"/>
        <w:rPr>
          <w:rFonts w:ascii="Arial" w:hAnsi="Arial" w:cs="Arial"/>
          <w:color w:val="000361"/>
          <w:sz w:val="20"/>
          <w:szCs w:val="20"/>
        </w:rPr>
        <w:sectPr w:rsidR="00EA2E31" w:rsidSect="00EA2E31">
          <w:pgSz w:w="16817" w:h="11901" w:orient="landscape"/>
          <w:pgMar w:top="1440" w:right="1440" w:bottom="1440" w:left="1440" w:header="709" w:footer="709" w:gutter="0"/>
          <w:cols w:space="708"/>
          <w:docGrid w:linePitch="360"/>
        </w:sectPr>
      </w:pPr>
    </w:p>
    <w:p w:rsidR="0056565C" w:rsidRDefault="00F557AB" w:rsidP="002D48FA">
      <w:pPr>
        <w:jc w:val="both"/>
        <w:rPr>
          <w:rFonts w:ascii="Arial" w:hAnsi="Arial" w:cs="Arial"/>
          <w:color w:val="000361"/>
          <w:sz w:val="20"/>
          <w:szCs w:val="20"/>
        </w:rPr>
      </w:pPr>
      <w:r>
        <w:rPr>
          <w:rFonts w:ascii="Arial" w:hAnsi="Arial" w:cs="Arial"/>
          <w:color w:val="000361"/>
          <w:sz w:val="20"/>
          <w:szCs w:val="20"/>
        </w:rPr>
        <w:lastRenderedPageBreak/>
        <w:t>Aspectes remarcables en l’anàlisi percentual del compte de pèrdues i guanys:</w:t>
      </w:r>
    </w:p>
    <w:p w:rsidR="00F557AB" w:rsidRDefault="00F557AB" w:rsidP="002D48FA">
      <w:pPr>
        <w:jc w:val="both"/>
        <w:rPr>
          <w:rFonts w:ascii="Arial" w:hAnsi="Arial" w:cs="Arial"/>
          <w:color w:val="000361"/>
          <w:sz w:val="20"/>
          <w:szCs w:val="20"/>
        </w:rPr>
      </w:pPr>
    </w:p>
    <w:p w:rsidR="000E7E63" w:rsidRDefault="000E7E63" w:rsidP="002D48FA">
      <w:pPr>
        <w:jc w:val="both"/>
        <w:rPr>
          <w:rFonts w:ascii="Arial" w:hAnsi="Arial" w:cs="Arial"/>
          <w:color w:val="000361"/>
          <w:sz w:val="20"/>
          <w:szCs w:val="20"/>
        </w:rPr>
      </w:pPr>
      <w:r>
        <w:rPr>
          <w:rFonts w:ascii="Arial" w:hAnsi="Arial" w:cs="Arial"/>
          <w:color w:val="000361"/>
          <w:sz w:val="20"/>
          <w:szCs w:val="20"/>
        </w:rPr>
        <w:t xml:space="preserve">- La xifra de negocis ha anat creixent entre un 6 i un 11% anual. El 2015 amb l’import de les vendes era de 199 milions d’€ i el 2019 va assolir els 277 milions d’€, per tant l’increment de tot el </w:t>
      </w:r>
      <w:r w:rsidR="00DF620D">
        <w:rPr>
          <w:rFonts w:ascii="Arial" w:hAnsi="Arial" w:cs="Arial"/>
          <w:color w:val="000361"/>
          <w:sz w:val="20"/>
          <w:szCs w:val="20"/>
        </w:rPr>
        <w:t>període</w:t>
      </w:r>
      <w:r>
        <w:rPr>
          <w:rFonts w:ascii="Arial" w:hAnsi="Arial" w:cs="Arial"/>
          <w:color w:val="000361"/>
          <w:sz w:val="20"/>
          <w:szCs w:val="20"/>
        </w:rPr>
        <w:t xml:space="preserve"> és d’un 39%.</w:t>
      </w:r>
    </w:p>
    <w:p w:rsidR="000E7E63" w:rsidRDefault="000E7E63" w:rsidP="002D48FA">
      <w:pPr>
        <w:jc w:val="both"/>
        <w:rPr>
          <w:rFonts w:ascii="Arial" w:hAnsi="Arial" w:cs="Arial"/>
          <w:color w:val="000361"/>
          <w:sz w:val="20"/>
          <w:szCs w:val="20"/>
        </w:rPr>
      </w:pPr>
    </w:p>
    <w:p w:rsidR="00206F35" w:rsidRDefault="00F557AB" w:rsidP="002D48FA">
      <w:pPr>
        <w:jc w:val="both"/>
        <w:rPr>
          <w:rFonts w:ascii="Arial" w:hAnsi="Arial" w:cs="Arial"/>
          <w:color w:val="000361"/>
          <w:sz w:val="20"/>
          <w:szCs w:val="20"/>
        </w:rPr>
      </w:pPr>
      <w:r>
        <w:rPr>
          <w:rFonts w:ascii="Arial" w:hAnsi="Arial" w:cs="Arial"/>
          <w:color w:val="000361"/>
          <w:sz w:val="20"/>
          <w:szCs w:val="20"/>
        </w:rPr>
        <w:t>- Un 78-80% sobre la xifra de negocis són despeses que en tots els exercicis analitzats es reparteixen de manera més o menys equitativa entre les partides de personal, aprovisionaments i altres despeses d’explotació.</w:t>
      </w:r>
    </w:p>
    <w:p w:rsidR="00206F35" w:rsidRDefault="00206F35" w:rsidP="002D48FA">
      <w:pPr>
        <w:jc w:val="both"/>
        <w:rPr>
          <w:rFonts w:ascii="Arial" w:hAnsi="Arial" w:cs="Arial"/>
          <w:color w:val="000361"/>
          <w:sz w:val="20"/>
          <w:szCs w:val="20"/>
        </w:rPr>
      </w:pPr>
    </w:p>
    <w:p w:rsidR="00206F35" w:rsidRDefault="00206F35" w:rsidP="002D48FA">
      <w:pPr>
        <w:jc w:val="both"/>
        <w:rPr>
          <w:rFonts w:ascii="Arial" w:hAnsi="Arial" w:cs="Arial"/>
          <w:color w:val="000361"/>
          <w:sz w:val="20"/>
          <w:szCs w:val="20"/>
        </w:rPr>
      </w:pPr>
      <w:r>
        <w:rPr>
          <w:rFonts w:ascii="Arial" w:hAnsi="Arial" w:cs="Arial"/>
          <w:color w:val="000361"/>
          <w:sz w:val="20"/>
          <w:szCs w:val="20"/>
        </w:rPr>
        <w:t>-</w:t>
      </w:r>
      <w:r w:rsidR="00F557AB">
        <w:rPr>
          <w:rFonts w:ascii="Arial" w:hAnsi="Arial" w:cs="Arial"/>
          <w:color w:val="000361"/>
          <w:sz w:val="20"/>
          <w:szCs w:val="20"/>
        </w:rPr>
        <w:t xml:space="preserve"> </w:t>
      </w:r>
      <w:r w:rsidR="004A69AE">
        <w:rPr>
          <w:rFonts w:ascii="Arial" w:hAnsi="Arial" w:cs="Arial"/>
          <w:color w:val="000361"/>
          <w:sz w:val="20"/>
          <w:szCs w:val="20"/>
        </w:rPr>
        <w:t>La partida de “altres despeses d’explotació” és manté oscil·lant entre el 2</w:t>
      </w:r>
      <w:r w:rsidR="00954FDF">
        <w:rPr>
          <w:rFonts w:ascii="Arial" w:hAnsi="Arial" w:cs="Arial"/>
          <w:color w:val="000361"/>
          <w:sz w:val="20"/>
          <w:szCs w:val="20"/>
        </w:rPr>
        <w:t>7</w:t>
      </w:r>
      <w:r w:rsidR="004A69AE">
        <w:rPr>
          <w:rFonts w:ascii="Arial" w:hAnsi="Arial" w:cs="Arial"/>
          <w:color w:val="000361"/>
          <w:sz w:val="20"/>
          <w:szCs w:val="20"/>
        </w:rPr>
        <w:t>-2</w:t>
      </w:r>
      <w:r w:rsidR="00954FDF">
        <w:rPr>
          <w:rFonts w:ascii="Arial" w:hAnsi="Arial" w:cs="Arial"/>
          <w:color w:val="000361"/>
          <w:sz w:val="20"/>
          <w:szCs w:val="20"/>
        </w:rPr>
        <w:t>9</w:t>
      </w:r>
      <w:r w:rsidR="004A69AE">
        <w:rPr>
          <w:rFonts w:ascii="Arial" w:hAnsi="Arial" w:cs="Arial"/>
          <w:color w:val="000361"/>
          <w:sz w:val="20"/>
          <w:szCs w:val="20"/>
        </w:rPr>
        <w:t xml:space="preserve">% sobre les vendes en tot el </w:t>
      </w:r>
      <w:r w:rsidR="00DF620D">
        <w:rPr>
          <w:rFonts w:ascii="Arial" w:hAnsi="Arial" w:cs="Arial"/>
          <w:color w:val="000361"/>
          <w:sz w:val="20"/>
          <w:szCs w:val="20"/>
        </w:rPr>
        <w:t>període</w:t>
      </w:r>
      <w:r>
        <w:rPr>
          <w:rFonts w:ascii="Arial" w:hAnsi="Arial" w:cs="Arial"/>
          <w:color w:val="000361"/>
          <w:sz w:val="20"/>
          <w:szCs w:val="20"/>
        </w:rPr>
        <w:t xml:space="preserve"> seguint una tendència ajustada a la xifra de negocis tal i com es pot comprovar al gràfic 2.4</w:t>
      </w:r>
      <w:r w:rsidR="004A69AE">
        <w:rPr>
          <w:rFonts w:ascii="Arial" w:hAnsi="Arial" w:cs="Arial"/>
          <w:color w:val="000361"/>
          <w:sz w:val="20"/>
          <w:szCs w:val="20"/>
        </w:rPr>
        <w:t>.</w:t>
      </w:r>
    </w:p>
    <w:p w:rsidR="00206F35" w:rsidRDefault="00206F35" w:rsidP="002D48FA">
      <w:pPr>
        <w:jc w:val="both"/>
        <w:rPr>
          <w:rFonts w:ascii="Arial" w:hAnsi="Arial" w:cs="Arial"/>
          <w:color w:val="000361"/>
          <w:sz w:val="20"/>
          <w:szCs w:val="20"/>
        </w:rPr>
      </w:pPr>
    </w:p>
    <w:p w:rsidR="00206F35" w:rsidRDefault="00206F35" w:rsidP="002D48FA">
      <w:pPr>
        <w:jc w:val="both"/>
        <w:rPr>
          <w:rFonts w:ascii="Arial" w:hAnsi="Arial" w:cs="Arial"/>
          <w:color w:val="000361"/>
          <w:sz w:val="20"/>
          <w:szCs w:val="20"/>
        </w:rPr>
      </w:pPr>
      <w:r>
        <w:rPr>
          <w:rFonts w:ascii="Arial" w:hAnsi="Arial" w:cs="Arial"/>
          <w:color w:val="000361"/>
          <w:sz w:val="20"/>
          <w:szCs w:val="20"/>
        </w:rPr>
        <w:t>-</w:t>
      </w:r>
      <w:r w:rsidR="004A69AE">
        <w:rPr>
          <w:rFonts w:ascii="Arial" w:hAnsi="Arial" w:cs="Arial"/>
          <w:color w:val="000361"/>
          <w:sz w:val="20"/>
          <w:szCs w:val="20"/>
        </w:rPr>
        <w:t xml:space="preserve"> </w:t>
      </w:r>
      <w:r w:rsidR="00CA1AFA">
        <w:rPr>
          <w:rFonts w:ascii="Arial" w:hAnsi="Arial" w:cs="Arial"/>
          <w:color w:val="000361"/>
          <w:sz w:val="20"/>
          <w:szCs w:val="20"/>
        </w:rPr>
        <w:t>Els</w:t>
      </w:r>
      <w:r w:rsidR="00F557AB">
        <w:rPr>
          <w:rFonts w:ascii="Arial" w:hAnsi="Arial" w:cs="Arial"/>
          <w:color w:val="000361"/>
          <w:sz w:val="20"/>
          <w:szCs w:val="20"/>
        </w:rPr>
        <w:t xml:space="preserve"> aprovisionaments</w:t>
      </w:r>
      <w:r w:rsidR="00CA1AFA">
        <w:rPr>
          <w:rFonts w:ascii="Arial" w:hAnsi="Arial" w:cs="Arial"/>
          <w:color w:val="000361"/>
          <w:sz w:val="20"/>
          <w:szCs w:val="20"/>
        </w:rPr>
        <w:t xml:space="preserve"> són </w:t>
      </w:r>
      <w:r w:rsidR="004A69AE">
        <w:rPr>
          <w:rFonts w:ascii="Arial" w:hAnsi="Arial" w:cs="Arial"/>
          <w:color w:val="000361"/>
          <w:sz w:val="20"/>
          <w:szCs w:val="20"/>
        </w:rPr>
        <w:t>un</w:t>
      </w:r>
      <w:r w:rsidR="00F557AB">
        <w:rPr>
          <w:rFonts w:ascii="Arial" w:hAnsi="Arial" w:cs="Arial"/>
          <w:color w:val="000361"/>
          <w:sz w:val="20"/>
          <w:szCs w:val="20"/>
        </w:rPr>
        <w:t xml:space="preserve"> 26% de les vendes </w:t>
      </w:r>
      <w:r w:rsidR="004A69AE">
        <w:rPr>
          <w:rFonts w:ascii="Arial" w:hAnsi="Arial" w:cs="Arial"/>
          <w:color w:val="000361"/>
          <w:sz w:val="20"/>
          <w:szCs w:val="20"/>
        </w:rPr>
        <w:t xml:space="preserve">el 2015 i 2016, </w:t>
      </w:r>
      <w:r w:rsidR="00CA1AFA">
        <w:rPr>
          <w:rFonts w:ascii="Arial" w:hAnsi="Arial" w:cs="Arial"/>
          <w:color w:val="000361"/>
          <w:sz w:val="20"/>
          <w:szCs w:val="20"/>
        </w:rPr>
        <w:t>i disminueixen</w:t>
      </w:r>
      <w:r w:rsidR="004A69AE">
        <w:rPr>
          <w:rFonts w:ascii="Arial" w:hAnsi="Arial" w:cs="Arial"/>
          <w:color w:val="000361"/>
          <w:sz w:val="20"/>
          <w:szCs w:val="20"/>
        </w:rPr>
        <w:t xml:space="preserve"> </w:t>
      </w:r>
      <w:r w:rsidR="00CA1AFA">
        <w:rPr>
          <w:rFonts w:ascii="Arial" w:hAnsi="Arial" w:cs="Arial"/>
          <w:color w:val="000361"/>
          <w:sz w:val="20"/>
          <w:szCs w:val="20"/>
        </w:rPr>
        <w:t>estabilitzant-se amb</w:t>
      </w:r>
      <w:r w:rsidR="004A69AE">
        <w:rPr>
          <w:rFonts w:ascii="Arial" w:hAnsi="Arial" w:cs="Arial"/>
          <w:color w:val="000361"/>
          <w:sz w:val="20"/>
          <w:szCs w:val="20"/>
        </w:rPr>
        <w:t xml:space="preserve"> 22-23% el 2017,2</w:t>
      </w:r>
      <w:r w:rsidR="00CA1AFA">
        <w:rPr>
          <w:rFonts w:ascii="Arial" w:hAnsi="Arial" w:cs="Arial"/>
          <w:color w:val="000361"/>
          <w:sz w:val="20"/>
          <w:szCs w:val="20"/>
        </w:rPr>
        <w:t>0</w:t>
      </w:r>
      <w:r w:rsidR="004A69AE">
        <w:rPr>
          <w:rFonts w:ascii="Arial" w:hAnsi="Arial" w:cs="Arial"/>
          <w:color w:val="000361"/>
          <w:sz w:val="20"/>
          <w:szCs w:val="20"/>
        </w:rPr>
        <w:t>18 i 2019.</w:t>
      </w:r>
      <w:r>
        <w:rPr>
          <w:rFonts w:ascii="Arial" w:hAnsi="Arial" w:cs="Arial"/>
          <w:color w:val="000361"/>
          <w:sz w:val="20"/>
          <w:szCs w:val="20"/>
        </w:rPr>
        <w:t xml:space="preserve"> Es pot observar al gràfic 2.4 com l’any 2017 disminueix i partint d’un nivell més baix dibuixa una tendència ascendent similar que la xifra de vendes.</w:t>
      </w:r>
      <w:r w:rsidR="004A69AE">
        <w:rPr>
          <w:rFonts w:ascii="Arial" w:hAnsi="Arial" w:cs="Arial"/>
          <w:color w:val="000361"/>
          <w:sz w:val="20"/>
          <w:szCs w:val="20"/>
        </w:rPr>
        <w:t xml:space="preserve"> De manera oposada, les despeses de personal parteixen d’un 24% el 2015 i progressivament augmenten el seu pes fins a assolir un 30% sobre la xifra de negoci.</w:t>
      </w:r>
    </w:p>
    <w:p w:rsidR="00ED1745" w:rsidRDefault="00ED1745" w:rsidP="002D48FA">
      <w:pPr>
        <w:jc w:val="both"/>
        <w:rPr>
          <w:rFonts w:ascii="Arial" w:hAnsi="Arial" w:cs="Arial"/>
          <w:color w:val="000361"/>
          <w:sz w:val="20"/>
          <w:szCs w:val="20"/>
        </w:rPr>
      </w:pPr>
    </w:p>
    <w:p w:rsidR="00206F35" w:rsidRDefault="00ED1745" w:rsidP="002D48FA">
      <w:pPr>
        <w:jc w:val="both"/>
        <w:rPr>
          <w:rFonts w:ascii="Arial" w:hAnsi="Arial" w:cs="Arial"/>
          <w:color w:val="000361"/>
          <w:sz w:val="20"/>
          <w:szCs w:val="20"/>
        </w:rPr>
      </w:pPr>
      <w:r>
        <w:rPr>
          <w:rFonts w:ascii="Arial" w:hAnsi="Arial" w:cs="Arial"/>
          <w:color w:val="000361"/>
          <w:sz w:val="20"/>
          <w:szCs w:val="20"/>
        </w:rPr>
        <w:t xml:space="preserve">- Les despeses d’amortització de l’immobilitzat i de personal són les que creixent més, amb variacions percentuals per sobre de la xifra de negoci. Són despeses actuals però </w:t>
      </w:r>
      <w:r w:rsidR="004105C5">
        <w:rPr>
          <w:rFonts w:ascii="Arial" w:hAnsi="Arial" w:cs="Arial"/>
          <w:color w:val="000361"/>
          <w:sz w:val="20"/>
          <w:szCs w:val="20"/>
        </w:rPr>
        <w:t xml:space="preserve">amb </w:t>
      </w:r>
      <w:r w:rsidR="00761221">
        <w:rPr>
          <w:rFonts w:ascii="Arial" w:hAnsi="Arial" w:cs="Arial"/>
          <w:color w:val="000361"/>
          <w:sz w:val="20"/>
          <w:szCs w:val="20"/>
        </w:rPr>
        <w:t>la</w:t>
      </w:r>
      <w:r>
        <w:rPr>
          <w:rFonts w:ascii="Arial" w:hAnsi="Arial" w:cs="Arial"/>
          <w:color w:val="000361"/>
          <w:sz w:val="20"/>
          <w:szCs w:val="20"/>
        </w:rPr>
        <w:t xml:space="preserve"> vist</w:t>
      </w:r>
      <w:r w:rsidR="00761221">
        <w:rPr>
          <w:rFonts w:ascii="Arial" w:hAnsi="Arial" w:cs="Arial"/>
          <w:color w:val="000361"/>
          <w:sz w:val="20"/>
          <w:szCs w:val="20"/>
        </w:rPr>
        <w:t>a</w:t>
      </w:r>
      <w:r>
        <w:rPr>
          <w:rFonts w:ascii="Arial" w:hAnsi="Arial" w:cs="Arial"/>
          <w:color w:val="000361"/>
          <w:sz w:val="20"/>
          <w:szCs w:val="20"/>
        </w:rPr>
        <w:t xml:space="preserve"> </w:t>
      </w:r>
      <w:r w:rsidR="00761221">
        <w:rPr>
          <w:rFonts w:ascii="Arial" w:hAnsi="Arial" w:cs="Arial"/>
          <w:color w:val="000361"/>
          <w:sz w:val="20"/>
          <w:szCs w:val="20"/>
        </w:rPr>
        <w:t>posada</w:t>
      </w:r>
      <w:r>
        <w:rPr>
          <w:rFonts w:ascii="Arial" w:hAnsi="Arial" w:cs="Arial"/>
          <w:color w:val="000361"/>
          <w:sz w:val="20"/>
          <w:szCs w:val="20"/>
        </w:rPr>
        <w:t xml:space="preserve"> </w:t>
      </w:r>
      <w:r w:rsidR="00761221">
        <w:rPr>
          <w:rFonts w:ascii="Arial" w:hAnsi="Arial" w:cs="Arial"/>
          <w:color w:val="000361"/>
          <w:sz w:val="20"/>
          <w:szCs w:val="20"/>
        </w:rPr>
        <w:t>al</w:t>
      </w:r>
      <w:r>
        <w:rPr>
          <w:rFonts w:ascii="Arial" w:hAnsi="Arial" w:cs="Arial"/>
          <w:color w:val="000361"/>
          <w:sz w:val="20"/>
          <w:szCs w:val="20"/>
        </w:rPr>
        <w:t xml:space="preserve"> llarg termini</w:t>
      </w:r>
      <w:r w:rsidR="00761221">
        <w:rPr>
          <w:rFonts w:ascii="Arial" w:hAnsi="Arial" w:cs="Arial"/>
          <w:color w:val="000361"/>
          <w:sz w:val="20"/>
          <w:szCs w:val="20"/>
        </w:rPr>
        <w:t>.</w:t>
      </w:r>
      <w:r>
        <w:rPr>
          <w:rFonts w:ascii="Arial" w:hAnsi="Arial" w:cs="Arial"/>
          <w:color w:val="000361"/>
          <w:sz w:val="20"/>
          <w:szCs w:val="20"/>
        </w:rPr>
        <w:t xml:space="preserve"> </w:t>
      </w:r>
      <w:r w:rsidR="00761221">
        <w:rPr>
          <w:rFonts w:ascii="Arial" w:hAnsi="Arial" w:cs="Arial"/>
          <w:color w:val="000361"/>
          <w:sz w:val="20"/>
          <w:szCs w:val="20"/>
        </w:rPr>
        <w:t>P</w:t>
      </w:r>
      <w:r>
        <w:rPr>
          <w:rFonts w:ascii="Arial" w:hAnsi="Arial" w:cs="Arial"/>
          <w:color w:val="000361"/>
          <w:sz w:val="20"/>
          <w:szCs w:val="20"/>
        </w:rPr>
        <w:t>otencia</w:t>
      </w:r>
      <w:r w:rsidR="00761221">
        <w:rPr>
          <w:rFonts w:ascii="Arial" w:hAnsi="Arial" w:cs="Arial"/>
          <w:color w:val="000361"/>
          <w:sz w:val="20"/>
          <w:szCs w:val="20"/>
        </w:rPr>
        <w:t>r</w:t>
      </w:r>
      <w:r>
        <w:rPr>
          <w:rFonts w:ascii="Arial" w:hAnsi="Arial" w:cs="Arial"/>
          <w:color w:val="000361"/>
          <w:sz w:val="20"/>
          <w:szCs w:val="20"/>
        </w:rPr>
        <w:t>, desenvolupa</w:t>
      </w:r>
      <w:r w:rsidR="00761221">
        <w:rPr>
          <w:rFonts w:ascii="Arial" w:hAnsi="Arial" w:cs="Arial"/>
          <w:color w:val="000361"/>
          <w:sz w:val="20"/>
          <w:szCs w:val="20"/>
        </w:rPr>
        <w:t>r</w:t>
      </w:r>
      <w:r>
        <w:rPr>
          <w:rFonts w:ascii="Arial" w:hAnsi="Arial" w:cs="Arial"/>
          <w:color w:val="000361"/>
          <w:sz w:val="20"/>
          <w:szCs w:val="20"/>
        </w:rPr>
        <w:t xml:space="preserve"> i capacita</w:t>
      </w:r>
      <w:r w:rsidR="00761221">
        <w:rPr>
          <w:rFonts w:ascii="Arial" w:hAnsi="Arial" w:cs="Arial"/>
          <w:color w:val="000361"/>
          <w:sz w:val="20"/>
          <w:szCs w:val="20"/>
        </w:rPr>
        <w:t>r</w:t>
      </w:r>
      <w:r>
        <w:rPr>
          <w:rFonts w:ascii="Arial" w:hAnsi="Arial" w:cs="Arial"/>
          <w:color w:val="000361"/>
          <w:sz w:val="20"/>
          <w:szCs w:val="20"/>
        </w:rPr>
        <w:t xml:space="preserve"> els recursos humans i tecnològics de l’empresa</w:t>
      </w:r>
      <w:r w:rsidR="00761221">
        <w:rPr>
          <w:rFonts w:ascii="Arial" w:hAnsi="Arial" w:cs="Arial"/>
          <w:color w:val="000361"/>
          <w:sz w:val="20"/>
          <w:szCs w:val="20"/>
        </w:rPr>
        <w:t xml:space="preserve"> són</w:t>
      </w:r>
      <w:r>
        <w:rPr>
          <w:rFonts w:ascii="Arial" w:hAnsi="Arial" w:cs="Arial"/>
          <w:color w:val="000361"/>
          <w:sz w:val="20"/>
          <w:szCs w:val="20"/>
        </w:rPr>
        <w:t xml:space="preserve"> factors claus de la seva activitat de </w:t>
      </w:r>
      <w:r w:rsidR="0036789D">
        <w:rPr>
          <w:rFonts w:ascii="Arial" w:hAnsi="Arial" w:cs="Arial"/>
          <w:color w:val="000361"/>
          <w:sz w:val="20"/>
          <w:szCs w:val="20"/>
        </w:rPr>
        <w:t>R</w:t>
      </w:r>
      <w:r>
        <w:rPr>
          <w:rFonts w:ascii="Arial" w:hAnsi="Arial" w:cs="Arial"/>
          <w:color w:val="000361"/>
          <w:sz w:val="20"/>
          <w:szCs w:val="20"/>
        </w:rPr>
        <w:t>+D</w:t>
      </w:r>
      <w:r w:rsidR="00761221">
        <w:rPr>
          <w:rFonts w:ascii="Arial" w:hAnsi="Arial" w:cs="Arial"/>
          <w:color w:val="000361"/>
          <w:sz w:val="20"/>
          <w:szCs w:val="20"/>
        </w:rPr>
        <w:t xml:space="preserve"> que ha</w:t>
      </w:r>
      <w:r w:rsidR="00586FCE">
        <w:rPr>
          <w:rFonts w:ascii="Arial" w:hAnsi="Arial" w:cs="Arial"/>
          <w:color w:val="000361"/>
          <w:sz w:val="20"/>
          <w:szCs w:val="20"/>
        </w:rPr>
        <w:t>n</w:t>
      </w:r>
      <w:r w:rsidR="00761221">
        <w:rPr>
          <w:rFonts w:ascii="Arial" w:hAnsi="Arial" w:cs="Arial"/>
          <w:color w:val="000361"/>
          <w:sz w:val="20"/>
          <w:szCs w:val="20"/>
        </w:rPr>
        <w:t xml:space="preserve"> de repercutir major volum de negoci</w:t>
      </w:r>
      <w:r w:rsidR="00586FCE">
        <w:rPr>
          <w:rFonts w:ascii="Arial" w:hAnsi="Arial" w:cs="Arial"/>
          <w:color w:val="000361"/>
          <w:sz w:val="20"/>
          <w:szCs w:val="20"/>
        </w:rPr>
        <w:t xml:space="preserve"> i rendibilitat de cara al futur</w:t>
      </w:r>
      <w:r w:rsidR="00761221">
        <w:rPr>
          <w:rFonts w:ascii="Arial" w:hAnsi="Arial" w:cs="Arial"/>
          <w:color w:val="000361"/>
          <w:sz w:val="20"/>
          <w:szCs w:val="20"/>
        </w:rPr>
        <w:t>.</w:t>
      </w:r>
      <w:r>
        <w:rPr>
          <w:rFonts w:ascii="Arial" w:hAnsi="Arial" w:cs="Arial"/>
          <w:color w:val="000361"/>
          <w:sz w:val="20"/>
          <w:szCs w:val="20"/>
        </w:rPr>
        <w:t xml:space="preserve"> </w:t>
      </w:r>
    </w:p>
    <w:p w:rsidR="00ED1745" w:rsidRDefault="00ED1745" w:rsidP="002D48FA">
      <w:pPr>
        <w:jc w:val="both"/>
        <w:rPr>
          <w:rFonts w:ascii="Arial" w:hAnsi="Arial" w:cs="Arial"/>
          <w:color w:val="000361"/>
          <w:sz w:val="20"/>
          <w:szCs w:val="20"/>
        </w:rPr>
      </w:pPr>
    </w:p>
    <w:p w:rsidR="0056565C" w:rsidRDefault="00206F35" w:rsidP="002D48FA">
      <w:pPr>
        <w:jc w:val="both"/>
        <w:rPr>
          <w:rFonts w:ascii="Arial" w:hAnsi="Arial" w:cs="Arial"/>
          <w:color w:val="000361"/>
          <w:sz w:val="20"/>
          <w:szCs w:val="20"/>
        </w:rPr>
      </w:pPr>
      <w:r>
        <w:rPr>
          <w:rFonts w:ascii="Arial" w:hAnsi="Arial" w:cs="Arial"/>
          <w:color w:val="000361"/>
          <w:sz w:val="20"/>
          <w:szCs w:val="20"/>
        </w:rPr>
        <w:t>-</w:t>
      </w:r>
      <w:r w:rsidR="004A69AE">
        <w:rPr>
          <w:rFonts w:ascii="Arial" w:hAnsi="Arial" w:cs="Arial"/>
          <w:color w:val="000361"/>
          <w:sz w:val="20"/>
          <w:szCs w:val="20"/>
        </w:rPr>
        <w:t xml:space="preserve"> El comportament de </w:t>
      </w:r>
      <w:r>
        <w:rPr>
          <w:rFonts w:ascii="Arial" w:hAnsi="Arial" w:cs="Arial"/>
          <w:color w:val="000361"/>
          <w:sz w:val="20"/>
          <w:szCs w:val="20"/>
        </w:rPr>
        <w:t>major creixement de</w:t>
      </w:r>
      <w:r w:rsidR="004A69AE">
        <w:rPr>
          <w:rFonts w:ascii="Arial" w:hAnsi="Arial" w:cs="Arial"/>
          <w:color w:val="000361"/>
          <w:sz w:val="20"/>
          <w:szCs w:val="20"/>
        </w:rPr>
        <w:t xml:space="preserve"> despeses de personal</w:t>
      </w:r>
      <w:r>
        <w:rPr>
          <w:rFonts w:ascii="Arial" w:hAnsi="Arial" w:cs="Arial"/>
          <w:color w:val="000361"/>
          <w:sz w:val="20"/>
          <w:szCs w:val="20"/>
        </w:rPr>
        <w:t xml:space="preserve"> i amortitzacions de l’immobilitzat associat a una disminució</w:t>
      </w:r>
      <w:r w:rsidR="004A69AE">
        <w:rPr>
          <w:rFonts w:ascii="Arial" w:hAnsi="Arial" w:cs="Arial"/>
          <w:color w:val="000361"/>
          <w:sz w:val="20"/>
          <w:szCs w:val="20"/>
        </w:rPr>
        <w:t xml:space="preserve"> </w:t>
      </w:r>
      <w:r>
        <w:rPr>
          <w:rFonts w:ascii="Arial" w:hAnsi="Arial" w:cs="Arial"/>
          <w:color w:val="000361"/>
          <w:sz w:val="20"/>
          <w:szCs w:val="20"/>
        </w:rPr>
        <w:t>del volum</w:t>
      </w:r>
      <w:r w:rsidR="004A69AE">
        <w:rPr>
          <w:rFonts w:ascii="Arial" w:hAnsi="Arial" w:cs="Arial"/>
          <w:color w:val="000361"/>
          <w:sz w:val="20"/>
          <w:szCs w:val="20"/>
        </w:rPr>
        <w:t xml:space="preserve"> aprovisionaments pot ser motivat per un producte final que incorpori més valor afegit de creació pròpia</w:t>
      </w:r>
      <w:r w:rsidR="00586FCE">
        <w:rPr>
          <w:rFonts w:ascii="Arial" w:hAnsi="Arial" w:cs="Arial"/>
          <w:color w:val="000361"/>
          <w:sz w:val="20"/>
          <w:szCs w:val="20"/>
        </w:rPr>
        <w:t>:</w:t>
      </w:r>
      <w:r w:rsidR="004A69AE">
        <w:rPr>
          <w:rFonts w:ascii="Arial" w:hAnsi="Arial" w:cs="Arial"/>
          <w:color w:val="000361"/>
          <w:sz w:val="20"/>
          <w:szCs w:val="20"/>
        </w:rPr>
        <w:t xml:space="preserve"> </w:t>
      </w:r>
      <w:r w:rsidR="007B15B1">
        <w:rPr>
          <w:rFonts w:ascii="Arial" w:hAnsi="Arial" w:cs="Arial"/>
          <w:color w:val="000361"/>
          <w:sz w:val="20"/>
          <w:szCs w:val="20"/>
        </w:rPr>
        <w:t>invertint en</w:t>
      </w:r>
      <w:r w:rsidR="00CA1AFA">
        <w:rPr>
          <w:rFonts w:ascii="Arial" w:hAnsi="Arial" w:cs="Arial"/>
          <w:color w:val="000361"/>
          <w:sz w:val="20"/>
          <w:szCs w:val="20"/>
        </w:rPr>
        <w:t xml:space="preserve"> persones</w:t>
      </w:r>
      <w:r w:rsidR="00ED1745">
        <w:rPr>
          <w:rFonts w:ascii="Arial" w:hAnsi="Arial" w:cs="Arial"/>
          <w:color w:val="000361"/>
          <w:sz w:val="20"/>
          <w:szCs w:val="20"/>
        </w:rPr>
        <w:t xml:space="preserve"> i</w:t>
      </w:r>
      <w:r>
        <w:rPr>
          <w:rFonts w:ascii="Arial" w:hAnsi="Arial" w:cs="Arial"/>
          <w:color w:val="000361"/>
          <w:sz w:val="20"/>
          <w:szCs w:val="20"/>
        </w:rPr>
        <w:t xml:space="preserve"> millores d’equipament</w:t>
      </w:r>
      <w:r w:rsidR="00ED1745">
        <w:rPr>
          <w:rFonts w:ascii="Arial" w:hAnsi="Arial" w:cs="Arial"/>
          <w:color w:val="000361"/>
          <w:sz w:val="20"/>
          <w:szCs w:val="20"/>
        </w:rPr>
        <w:t xml:space="preserve"> i instal·lacions,</w:t>
      </w:r>
      <w:r w:rsidR="007B15B1">
        <w:rPr>
          <w:rFonts w:ascii="Arial" w:hAnsi="Arial" w:cs="Arial"/>
          <w:color w:val="000361"/>
          <w:sz w:val="20"/>
          <w:szCs w:val="20"/>
        </w:rPr>
        <w:t xml:space="preserve"> recerca</w:t>
      </w:r>
      <w:r w:rsidR="00CA1AFA">
        <w:rPr>
          <w:rFonts w:ascii="Arial" w:hAnsi="Arial" w:cs="Arial"/>
          <w:color w:val="000361"/>
          <w:sz w:val="20"/>
          <w:szCs w:val="20"/>
        </w:rPr>
        <w:t xml:space="preserve"> o bé per mitjà de processos d’integració vertical que tenen com a conseqüència la disminució de la necessitat de </w:t>
      </w:r>
      <w:r w:rsidR="00DF620D">
        <w:rPr>
          <w:rFonts w:ascii="Arial" w:hAnsi="Arial" w:cs="Arial"/>
          <w:color w:val="000361"/>
          <w:sz w:val="20"/>
          <w:szCs w:val="20"/>
        </w:rPr>
        <w:t>proveir-se’n</w:t>
      </w:r>
      <w:r w:rsidR="00CA1AFA">
        <w:rPr>
          <w:rFonts w:ascii="Arial" w:hAnsi="Arial" w:cs="Arial"/>
          <w:color w:val="000361"/>
          <w:sz w:val="20"/>
          <w:szCs w:val="20"/>
        </w:rPr>
        <w:t xml:space="preserve"> externament.</w:t>
      </w:r>
      <w:r w:rsidR="00B23EB2">
        <w:rPr>
          <w:rFonts w:ascii="Arial" w:hAnsi="Arial" w:cs="Arial"/>
          <w:color w:val="000361"/>
          <w:sz w:val="20"/>
          <w:szCs w:val="20"/>
        </w:rPr>
        <w:t xml:space="preserve"> Un altra possibilitat </w:t>
      </w:r>
      <w:r w:rsidR="00586FCE">
        <w:rPr>
          <w:rFonts w:ascii="Arial" w:hAnsi="Arial" w:cs="Arial"/>
          <w:color w:val="000361"/>
          <w:sz w:val="20"/>
          <w:szCs w:val="20"/>
        </w:rPr>
        <w:t>podria ser</w:t>
      </w:r>
      <w:r w:rsidR="00B23EB2">
        <w:rPr>
          <w:rFonts w:ascii="Arial" w:hAnsi="Arial" w:cs="Arial"/>
          <w:color w:val="000361"/>
          <w:sz w:val="20"/>
          <w:szCs w:val="20"/>
        </w:rPr>
        <w:t xml:space="preserve"> </w:t>
      </w:r>
      <w:r w:rsidR="00586FCE">
        <w:rPr>
          <w:rFonts w:ascii="Arial" w:hAnsi="Arial" w:cs="Arial"/>
          <w:color w:val="000361"/>
          <w:sz w:val="20"/>
          <w:szCs w:val="20"/>
        </w:rPr>
        <w:t>una</w:t>
      </w:r>
      <w:r w:rsidR="00B23EB2">
        <w:rPr>
          <w:rFonts w:ascii="Arial" w:hAnsi="Arial" w:cs="Arial"/>
          <w:color w:val="000361"/>
          <w:sz w:val="20"/>
          <w:szCs w:val="20"/>
        </w:rPr>
        <w:t xml:space="preserve"> disminució del preu</w:t>
      </w:r>
      <w:r w:rsidR="00586FCE">
        <w:rPr>
          <w:rFonts w:ascii="Arial" w:hAnsi="Arial" w:cs="Arial"/>
          <w:color w:val="000361"/>
          <w:sz w:val="20"/>
          <w:szCs w:val="20"/>
        </w:rPr>
        <w:t xml:space="preserve"> de compra</w:t>
      </w:r>
      <w:r w:rsidR="00B23EB2">
        <w:rPr>
          <w:rFonts w:ascii="Arial" w:hAnsi="Arial" w:cs="Arial"/>
          <w:color w:val="000361"/>
          <w:sz w:val="20"/>
          <w:szCs w:val="20"/>
        </w:rPr>
        <w:t xml:space="preserve"> de les matèries primeres.</w:t>
      </w:r>
    </w:p>
    <w:p w:rsidR="00CA1AFA" w:rsidRDefault="00CA1AFA" w:rsidP="002D48FA">
      <w:pPr>
        <w:jc w:val="both"/>
        <w:rPr>
          <w:rFonts w:ascii="Arial" w:hAnsi="Arial" w:cs="Arial"/>
          <w:color w:val="000361"/>
          <w:sz w:val="20"/>
          <w:szCs w:val="20"/>
        </w:rPr>
      </w:pPr>
    </w:p>
    <w:p w:rsidR="00586FCE" w:rsidRDefault="00586FCE" w:rsidP="00586FCE">
      <w:pPr>
        <w:jc w:val="both"/>
        <w:rPr>
          <w:rFonts w:ascii="Arial" w:hAnsi="Arial" w:cs="Arial"/>
          <w:color w:val="000361"/>
          <w:sz w:val="20"/>
          <w:szCs w:val="20"/>
        </w:rPr>
      </w:pPr>
      <w:r>
        <w:rPr>
          <w:rFonts w:ascii="Arial" w:hAnsi="Arial" w:cs="Arial"/>
          <w:color w:val="000361"/>
          <w:sz w:val="20"/>
          <w:szCs w:val="20"/>
        </w:rPr>
        <w:t xml:space="preserve">- Les “altres despeses d’explotació” a priori mostren un comportament </w:t>
      </w:r>
      <w:r w:rsidR="00DF620D">
        <w:rPr>
          <w:rFonts w:ascii="Arial" w:hAnsi="Arial" w:cs="Arial"/>
          <w:color w:val="000361"/>
          <w:sz w:val="20"/>
          <w:szCs w:val="20"/>
        </w:rPr>
        <w:t>semi fix</w:t>
      </w:r>
      <w:r>
        <w:rPr>
          <w:rFonts w:ascii="Arial" w:hAnsi="Arial" w:cs="Arial"/>
          <w:color w:val="000361"/>
          <w:sz w:val="20"/>
          <w:szCs w:val="20"/>
        </w:rPr>
        <w:t xml:space="preserve"> en relació a les vendes.</w:t>
      </w:r>
    </w:p>
    <w:p w:rsidR="00586FCE" w:rsidRDefault="00586FCE" w:rsidP="002D48FA">
      <w:pPr>
        <w:jc w:val="both"/>
        <w:rPr>
          <w:rFonts w:ascii="Arial" w:hAnsi="Arial" w:cs="Arial"/>
          <w:color w:val="000361"/>
          <w:sz w:val="20"/>
          <w:szCs w:val="20"/>
        </w:rPr>
      </w:pPr>
    </w:p>
    <w:p w:rsidR="00A12F82" w:rsidRPr="00A12F82" w:rsidRDefault="00A12F82" w:rsidP="00A12F82">
      <w:pPr>
        <w:rPr>
          <w:rFonts w:ascii="Arial" w:hAnsi="Arial" w:cs="Arial"/>
          <w:color w:val="000361"/>
          <w:sz w:val="20"/>
          <w:szCs w:val="20"/>
        </w:rPr>
      </w:pPr>
      <w:r w:rsidRPr="00A12F82">
        <w:rPr>
          <w:rFonts w:ascii="Arial" w:hAnsi="Arial" w:cs="Arial"/>
          <w:color w:val="000361"/>
          <w:sz w:val="20"/>
          <w:szCs w:val="20"/>
        </w:rPr>
        <w:t xml:space="preserve">Gràfic 2.4 </w:t>
      </w:r>
      <w:r>
        <w:rPr>
          <w:rFonts w:ascii="Arial" w:hAnsi="Arial" w:cs="Arial"/>
          <w:color w:val="000361"/>
          <w:sz w:val="20"/>
          <w:szCs w:val="20"/>
        </w:rPr>
        <w:t xml:space="preserve">- </w:t>
      </w:r>
      <w:r w:rsidRPr="00A12F82">
        <w:rPr>
          <w:rFonts w:ascii="Arial" w:hAnsi="Arial" w:cs="Arial"/>
          <w:color w:val="000361"/>
          <w:sz w:val="20"/>
          <w:szCs w:val="20"/>
        </w:rPr>
        <w:t>Tendència sobre les variacions acumulades de les partides més rellevants del compte de pèrdues i guanys de Laboratoris Hipra.</w:t>
      </w:r>
    </w:p>
    <w:p w:rsidR="00954FDF" w:rsidRDefault="00954FDF" w:rsidP="002D48FA">
      <w:pPr>
        <w:jc w:val="both"/>
        <w:rPr>
          <w:rFonts w:ascii="Arial" w:hAnsi="Arial" w:cs="Arial"/>
          <w:color w:val="000361"/>
          <w:sz w:val="20"/>
          <w:szCs w:val="20"/>
        </w:rPr>
      </w:pPr>
    </w:p>
    <w:p w:rsidR="00954FDF" w:rsidRDefault="00761221" w:rsidP="00761221">
      <w:pPr>
        <w:jc w:val="center"/>
        <w:rPr>
          <w:rFonts w:ascii="Arial" w:hAnsi="Arial" w:cs="Arial"/>
          <w:color w:val="000361"/>
          <w:sz w:val="20"/>
          <w:szCs w:val="20"/>
        </w:rPr>
      </w:pPr>
      <w:r>
        <w:rPr>
          <w:noProof/>
        </w:rPr>
        <w:drawing>
          <wp:inline distT="0" distB="0" distL="0" distR="0" wp14:anchorId="410BC4C5" wp14:editId="7B889114">
            <wp:extent cx="4655127" cy="2643447"/>
            <wp:effectExtent l="0" t="0" r="0" b="0"/>
            <wp:docPr id="8" name="Gráfico 8">
              <a:extLst xmlns:a="http://schemas.openxmlformats.org/drawingml/2006/main">
                <a:ext uri="{FF2B5EF4-FFF2-40B4-BE49-F238E27FC236}">
                  <a16:creationId xmlns:a16="http://schemas.microsoft.com/office/drawing/2014/main" id="{F8261359-61FF-7547-B73F-A0BD30AA85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61221" w:rsidRPr="00A12F82" w:rsidRDefault="00A12F82" w:rsidP="002D48FA">
      <w:pPr>
        <w:jc w:val="both"/>
        <w:rPr>
          <w:rFonts w:ascii="Arial" w:hAnsi="Arial" w:cs="Arial"/>
          <w:color w:val="000361"/>
          <w:sz w:val="14"/>
          <w:szCs w:val="14"/>
        </w:rPr>
      </w:pPr>
      <w:r w:rsidRPr="00A12F82">
        <w:rPr>
          <w:rFonts w:ascii="Arial" w:hAnsi="Arial" w:cs="Arial"/>
          <w:color w:val="000361"/>
          <w:sz w:val="14"/>
          <w:szCs w:val="14"/>
        </w:rPr>
        <w:t>Font: Elaboració pròpia a partir dels comptes anuals de l’empresa obtinguts del SABI</w:t>
      </w:r>
    </w:p>
    <w:p w:rsidR="00CA1AFA" w:rsidRDefault="00CA1AFA" w:rsidP="002D48FA">
      <w:pPr>
        <w:jc w:val="both"/>
        <w:rPr>
          <w:rFonts w:ascii="Arial" w:hAnsi="Arial" w:cs="Arial"/>
          <w:color w:val="000361"/>
          <w:sz w:val="20"/>
          <w:szCs w:val="20"/>
        </w:rPr>
      </w:pPr>
    </w:p>
    <w:p w:rsidR="00C56195" w:rsidRDefault="00C56195" w:rsidP="002D48FA">
      <w:pPr>
        <w:jc w:val="both"/>
        <w:rPr>
          <w:rFonts w:ascii="Arial" w:hAnsi="Arial" w:cs="Arial"/>
          <w:color w:val="000361"/>
          <w:sz w:val="20"/>
          <w:szCs w:val="20"/>
        </w:rPr>
      </w:pPr>
    </w:p>
    <w:p w:rsidR="00C726DF" w:rsidRDefault="00C726DF" w:rsidP="00C726DF">
      <w:pPr>
        <w:jc w:val="both"/>
        <w:rPr>
          <w:rFonts w:ascii="Arial" w:hAnsi="Arial" w:cs="Arial"/>
          <w:color w:val="000361"/>
          <w:sz w:val="20"/>
          <w:szCs w:val="20"/>
        </w:rPr>
      </w:pPr>
      <w:r>
        <w:rPr>
          <w:rFonts w:ascii="Arial" w:hAnsi="Arial" w:cs="Arial"/>
          <w:color w:val="000361"/>
          <w:sz w:val="20"/>
          <w:szCs w:val="20"/>
        </w:rPr>
        <w:lastRenderedPageBreak/>
        <w:t>- Els ingressos i despeses financeres tenen un impacte molt insignificant en el resultat perquè en cap dels exercicis arriben a representar més d’un 1%. El poc endeutament de l’empresa, i la manca d’inversions financeres en són el motiu.</w:t>
      </w:r>
    </w:p>
    <w:p w:rsidR="00C726DF" w:rsidRDefault="00C726DF" w:rsidP="00C726DF">
      <w:pPr>
        <w:jc w:val="both"/>
        <w:rPr>
          <w:rFonts w:ascii="Arial" w:hAnsi="Arial" w:cs="Arial"/>
          <w:color w:val="000361"/>
          <w:sz w:val="20"/>
          <w:szCs w:val="20"/>
        </w:rPr>
      </w:pPr>
    </w:p>
    <w:p w:rsidR="005A3C89" w:rsidRDefault="00C726DF" w:rsidP="00C726DF">
      <w:pPr>
        <w:jc w:val="both"/>
        <w:rPr>
          <w:rFonts w:ascii="Arial" w:hAnsi="Arial" w:cs="Arial"/>
          <w:color w:val="000361"/>
          <w:sz w:val="20"/>
          <w:szCs w:val="20"/>
        </w:rPr>
      </w:pPr>
      <w:r>
        <w:rPr>
          <w:rFonts w:ascii="Arial" w:hAnsi="Arial" w:cs="Arial"/>
          <w:color w:val="000361"/>
          <w:sz w:val="20"/>
          <w:szCs w:val="20"/>
        </w:rPr>
        <w:t>- El resultats d’explotació es troben entre el 16 i 19% sobre les vendes.</w:t>
      </w:r>
      <w:r w:rsidR="00F72B4C">
        <w:rPr>
          <w:rFonts w:ascii="Arial" w:hAnsi="Arial" w:cs="Arial"/>
          <w:color w:val="000361"/>
          <w:sz w:val="20"/>
          <w:szCs w:val="20"/>
        </w:rPr>
        <w:t xml:space="preserve"> El 2015 eren de 15 milions d’€, mentre que ell 2019 assoleix un resultat de 47 milions d’€.</w:t>
      </w:r>
      <w:r>
        <w:rPr>
          <w:rFonts w:ascii="Arial" w:hAnsi="Arial" w:cs="Arial"/>
          <w:color w:val="000361"/>
          <w:sz w:val="20"/>
          <w:szCs w:val="20"/>
        </w:rPr>
        <w:t xml:space="preserve"> </w:t>
      </w:r>
      <w:r w:rsidR="00F72B4C">
        <w:rPr>
          <w:rFonts w:ascii="Arial" w:hAnsi="Arial" w:cs="Arial"/>
          <w:color w:val="000361"/>
          <w:sz w:val="20"/>
          <w:szCs w:val="20"/>
        </w:rPr>
        <w:t>El 2017 i 2019 en l’anàlisi percentual horitzontal s’observa un augment del 21% i 14% respectivament, no obstant els exercicis 2016 i 2018 la variació és de signe negatiu amb -4,51% i -3,95%</w:t>
      </w:r>
      <w:r w:rsidR="00357294">
        <w:rPr>
          <w:rFonts w:ascii="Arial" w:hAnsi="Arial" w:cs="Arial"/>
          <w:color w:val="000361"/>
          <w:sz w:val="20"/>
          <w:szCs w:val="20"/>
        </w:rPr>
        <w:t xml:space="preserve"> coincidint amb què es realitza una major despesa amb aprovisionaments en relació a les vendes, mentre els exercicis amb resultats positius són aquells que vénen a continuació on es relaxa la despesa en aprovisionaments.</w:t>
      </w:r>
      <w:r w:rsidR="00586FCE">
        <w:rPr>
          <w:rFonts w:ascii="Arial" w:hAnsi="Arial" w:cs="Arial"/>
          <w:color w:val="000361"/>
          <w:sz w:val="20"/>
          <w:szCs w:val="20"/>
        </w:rPr>
        <w:t xml:space="preserve"> </w:t>
      </w:r>
    </w:p>
    <w:p w:rsidR="00A84C5E" w:rsidRDefault="00A84C5E" w:rsidP="00C726DF">
      <w:pPr>
        <w:jc w:val="both"/>
        <w:rPr>
          <w:rFonts w:ascii="Arial" w:hAnsi="Arial" w:cs="Arial"/>
          <w:color w:val="000361"/>
          <w:sz w:val="20"/>
          <w:szCs w:val="20"/>
        </w:rPr>
      </w:pPr>
    </w:p>
    <w:p w:rsidR="005A3C89" w:rsidRDefault="005A3C89" w:rsidP="00C726DF">
      <w:pPr>
        <w:jc w:val="both"/>
        <w:rPr>
          <w:rFonts w:ascii="Arial" w:hAnsi="Arial" w:cs="Arial"/>
          <w:color w:val="000361"/>
          <w:sz w:val="20"/>
          <w:szCs w:val="20"/>
        </w:rPr>
      </w:pPr>
      <w:r>
        <w:rPr>
          <w:rFonts w:ascii="Arial" w:hAnsi="Arial" w:cs="Arial"/>
          <w:color w:val="000361"/>
          <w:sz w:val="20"/>
          <w:szCs w:val="20"/>
        </w:rPr>
        <w:t xml:space="preserve">- L’agrupació dels comptes i la seva simplificació no permet entrar en detall de partides suficientment rellevants per a l’anàlisi. </w:t>
      </w:r>
      <w:r w:rsidR="009F0315">
        <w:rPr>
          <w:rFonts w:ascii="Arial" w:hAnsi="Arial" w:cs="Arial"/>
          <w:color w:val="000361"/>
          <w:sz w:val="20"/>
          <w:szCs w:val="20"/>
        </w:rPr>
        <w:t>Entre d’altres, n</w:t>
      </w:r>
      <w:r>
        <w:rPr>
          <w:rFonts w:ascii="Arial" w:hAnsi="Arial" w:cs="Arial"/>
          <w:color w:val="000361"/>
          <w:sz w:val="20"/>
          <w:szCs w:val="20"/>
        </w:rPr>
        <w:t>o</w:t>
      </w:r>
      <w:r w:rsidR="009F0315">
        <w:rPr>
          <w:rFonts w:ascii="Arial" w:hAnsi="Arial" w:cs="Arial"/>
          <w:color w:val="000361"/>
          <w:sz w:val="20"/>
          <w:szCs w:val="20"/>
        </w:rPr>
        <w:t xml:space="preserve"> es</w:t>
      </w:r>
      <w:r>
        <w:rPr>
          <w:rFonts w:ascii="Arial" w:hAnsi="Arial" w:cs="Arial"/>
          <w:color w:val="000361"/>
          <w:sz w:val="20"/>
          <w:szCs w:val="20"/>
        </w:rPr>
        <w:t xml:space="preserve"> po</w:t>
      </w:r>
      <w:r w:rsidR="009F0315">
        <w:rPr>
          <w:rFonts w:ascii="Arial" w:hAnsi="Arial" w:cs="Arial"/>
          <w:color w:val="000361"/>
          <w:sz w:val="20"/>
          <w:szCs w:val="20"/>
        </w:rPr>
        <w:t>t saber com han afectat els</w:t>
      </w:r>
      <w:r>
        <w:rPr>
          <w:rFonts w:ascii="Arial" w:hAnsi="Arial" w:cs="Arial"/>
          <w:color w:val="000361"/>
          <w:sz w:val="20"/>
          <w:szCs w:val="20"/>
        </w:rPr>
        <w:t xml:space="preserve"> tipus de canvi donat que l’empresa realitza moltes operacions comercials en </w:t>
      </w:r>
      <w:r w:rsidR="00DF620D">
        <w:rPr>
          <w:rFonts w:ascii="Arial" w:hAnsi="Arial" w:cs="Arial"/>
          <w:color w:val="000361"/>
          <w:sz w:val="20"/>
          <w:szCs w:val="20"/>
        </w:rPr>
        <w:t>dòlars</w:t>
      </w:r>
      <w:r w:rsidR="009F0315">
        <w:rPr>
          <w:rFonts w:ascii="Arial" w:hAnsi="Arial" w:cs="Arial"/>
          <w:color w:val="000361"/>
          <w:sz w:val="20"/>
          <w:szCs w:val="20"/>
        </w:rPr>
        <w:t>, i tampoc les despeses en investigació, uns dels pilars bàsics de la companyia.</w:t>
      </w:r>
    </w:p>
    <w:p w:rsidR="00C726DF" w:rsidRDefault="00C726DF" w:rsidP="002D48FA">
      <w:pPr>
        <w:jc w:val="both"/>
        <w:rPr>
          <w:rFonts w:ascii="Arial" w:hAnsi="Arial" w:cs="Arial"/>
          <w:color w:val="000361"/>
          <w:sz w:val="20"/>
          <w:szCs w:val="20"/>
        </w:rPr>
      </w:pPr>
    </w:p>
    <w:p w:rsidR="002D48FA" w:rsidRPr="0017266E" w:rsidRDefault="00106DD6" w:rsidP="002D48FA">
      <w:pPr>
        <w:jc w:val="both"/>
        <w:rPr>
          <w:rFonts w:ascii="Arial" w:hAnsi="Arial" w:cs="Arial"/>
          <w:i/>
          <w:color w:val="000361"/>
          <w:sz w:val="20"/>
          <w:szCs w:val="20"/>
        </w:rPr>
      </w:pPr>
      <w:r w:rsidRPr="0017266E">
        <w:rPr>
          <w:rFonts w:ascii="Arial" w:hAnsi="Arial" w:cs="Arial"/>
          <w:i/>
          <w:color w:val="000361"/>
          <w:sz w:val="20"/>
          <w:szCs w:val="20"/>
        </w:rPr>
        <w:t>2.3.2. Anàlisi de la rotació</w:t>
      </w:r>
    </w:p>
    <w:p w:rsidR="00BC396D" w:rsidRDefault="00BC396D" w:rsidP="002D48FA">
      <w:pPr>
        <w:jc w:val="both"/>
        <w:rPr>
          <w:rFonts w:ascii="Arial" w:hAnsi="Arial" w:cs="Arial"/>
          <w:color w:val="000361"/>
          <w:sz w:val="20"/>
          <w:szCs w:val="20"/>
        </w:rPr>
      </w:pPr>
    </w:p>
    <w:p w:rsidR="000B020B" w:rsidRDefault="006A3DE0" w:rsidP="002D48FA">
      <w:pPr>
        <w:jc w:val="both"/>
        <w:rPr>
          <w:rFonts w:ascii="Arial" w:hAnsi="Arial" w:cs="Arial"/>
          <w:color w:val="000361"/>
          <w:sz w:val="20"/>
          <w:szCs w:val="20"/>
        </w:rPr>
      </w:pPr>
      <w:r>
        <w:rPr>
          <w:rFonts w:ascii="Arial" w:hAnsi="Arial" w:cs="Arial"/>
          <w:color w:val="000361"/>
          <w:sz w:val="20"/>
          <w:szCs w:val="20"/>
        </w:rPr>
        <w:t>La manca d’informació detallada sobre les matèries primeres, productes en curs i acabats no permet fer un anàlisi exhaustiu de la rotació. No obstant, pod</w:t>
      </w:r>
      <w:r w:rsidR="000B020B">
        <w:rPr>
          <w:rFonts w:ascii="Arial" w:hAnsi="Arial" w:cs="Arial"/>
          <w:color w:val="000361"/>
          <w:sz w:val="20"/>
          <w:szCs w:val="20"/>
        </w:rPr>
        <w:t>re</w:t>
      </w:r>
      <w:r>
        <w:rPr>
          <w:rFonts w:ascii="Arial" w:hAnsi="Arial" w:cs="Arial"/>
          <w:color w:val="000361"/>
          <w:sz w:val="20"/>
          <w:szCs w:val="20"/>
        </w:rPr>
        <w:t>m determinar</w:t>
      </w:r>
      <w:r w:rsidR="00D75653">
        <w:rPr>
          <w:rFonts w:ascii="Arial" w:hAnsi="Arial" w:cs="Arial"/>
          <w:color w:val="000361"/>
          <w:sz w:val="20"/>
          <w:szCs w:val="20"/>
        </w:rPr>
        <w:t xml:space="preserve"> per mitjà de la rotació de les existències el temps que triguen a ser venudes, i</w:t>
      </w:r>
      <w:r w:rsidR="000B020B">
        <w:rPr>
          <w:rFonts w:ascii="Arial" w:hAnsi="Arial" w:cs="Arial"/>
          <w:color w:val="000361"/>
          <w:sz w:val="20"/>
          <w:szCs w:val="20"/>
        </w:rPr>
        <w:t xml:space="preserve"> </w:t>
      </w:r>
      <w:r>
        <w:rPr>
          <w:rFonts w:ascii="Arial" w:hAnsi="Arial" w:cs="Arial"/>
          <w:color w:val="000361"/>
          <w:sz w:val="20"/>
          <w:szCs w:val="20"/>
        </w:rPr>
        <w:t>el període mitjà de cobrament i pagament que condiciona en gran mesura el nivell de tresoreria que l’empresa ha de mantenir al seu balanç.</w:t>
      </w:r>
    </w:p>
    <w:p w:rsidR="006A3DE0" w:rsidRDefault="006A3DE0" w:rsidP="002D48FA">
      <w:pPr>
        <w:jc w:val="both"/>
        <w:rPr>
          <w:rFonts w:ascii="Arial" w:hAnsi="Arial" w:cs="Arial"/>
          <w:color w:val="000361"/>
          <w:sz w:val="20"/>
          <w:szCs w:val="20"/>
        </w:rPr>
      </w:pPr>
    </w:p>
    <w:p w:rsidR="006A3DE0" w:rsidRDefault="000B020B" w:rsidP="002D48FA">
      <w:pPr>
        <w:jc w:val="both"/>
        <w:rPr>
          <w:rFonts w:ascii="Arial" w:hAnsi="Arial" w:cs="Arial"/>
          <w:color w:val="000361"/>
          <w:sz w:val="20"/>
          <w:szCs w:val="20"/>
        </w:rPr>
      </w:pPr>
      <w:r>
        <w:rPr>
          <w:rFonts w:ascii="Arial" w:hAnsi="Arial" w:cs="Arial"/>
          <w:color w:val="000361"/>
          <w:sz w:val="20"/>
          <w:szCs w:val="20"/>
        </w:rPr>
        <w:t>Els períodes de pagament i cobrament</w:t>
      </w:r>
      <w:r w:rsidR="00D75653">
        <w:rPr>
          <w:rFonts w:ascii="Arial" w:hAnsi="Arial" w:cs="Arial"/>
          <w:color w:val="000361"/>
          <w:sz w:val="20"/>
          <w:szCs w:val="20"/>
        </w:rPr>
        <w:t xml:space="preserve"> i la rotació de les existències</w:t>
      </w:r>
      <w:r>
        <w:rPr>
          <w:rFonts w:ascii="Arial" w:hAnsi="Arial" w:cs="Arial"/>
          <w:color w:val="000361"/>
          <w:sz w:val="20"/>
          <w:szCs w:val="20"/>
        </w:rPr>
        <w:t xml:space="preserve"> de l’empresa Hipra pels exercicis 2015-2019 s’han obtingut a partir de</w:t>
      </w:r>
      <w:r w:rsidR="00D75653">
        <w:rPr>
          <w:rFonts w:ascii="Arial" w:hAnsi="Arial" w:cs="Arial"/>
          <w:color w:val="000361"/>
          <w:sz w:val="20"/>
          <w:szCs w:val="20"/>
        </w:rPr>
        <w:t xml:space="preserve"> </w:t>
      </w:r>
      <w:r>
        <w:rPr>
          <w:rFonts w:ascii="Arial" w:hAnsi="Arial" w:cs="Arial"/>
          <w:color w:val="000361"/>
          <w:sz w:val="20"/>
          <w:szCs w:val="20"/>
        </w:rPr>
        <w:t>la base de dades SABI</w:t>
      </w:r>
      <w:r w:rsidR="00BB226C">
        <w:rPr>
          <w:rFonts w:ascii="Arial" w:hAnsi="Arial" w:cs="Arial"/>
          <w:color w:val="000361"/>
          <w:sz w:val="20"/>
          <w:szCs w:val="20"/>
        </w:rPr>
        <w:t xml:space="preserve"> i no s’ha tingut en compte </w:t>
      </w:r>
      <w:r w:rsidR="00836306">
        <w:rPr>
          <w:rFonts w:ascii="Arial" w:hAnsi="Arial" w:cs="Arial"/>
          <w:color w:val="000361"/>
          <w:sz w:val="20"/>
          <w:szCs w:val="20"/>
        </w:rPr>
        <w:t>l’efecte de l’IVA sobre els deutors i creditors comercials.</w:t>
      </w:r>
    </w:p>
    <w:p w:rsidR="000B020B" w:rsidRDefault="000B020B" w:rsidP="002D48FA">
      <w:pPr>
        <w:jc w:val="both"/>
        <w:rPr>
          <w:rFonts w:ascii="Arial" w:hAnsi="Arial" w:cs="Arial"/>
          <w:color w:val="000361"/>
          <w:sz w:val="20"/>
          <w:szCs w:val="20"/>
        </w:rPr>
      </w:pPr>
    </w:p>
    <w:tbl>
      <w:tblPr>
        <w:tblW w:w="9069" w:type="dxa"/>
        <w:tblCellMar>
          <w:left w:w="70" w:type="dxa"/>
          <w:right w:w="70" w:type="dxa"/>
        </w:tblCellMar>
        <w:tblLook w:val="04A0" w:firstRow="1" w:lastRow="0" w:firstColumn="1" w:lastColumn="0" w:noHBand="0" w:noVBand="1"/>
      </w:tblPr>
      <w:tblGrid>
        <w:gridCol w:w="2946"/>
        <w:gridCol w:w="1225"/>
        <w:gridCol w:w="1224"/>
        <w:gridCol w:w="1224"/>
        <w:gridCol w:w="1224"/>
        <w:gridCol w:w="1226"/>
      </w:tblGrid>
      <w:tr w:rsidR="00836306" w:rsidRPr="00836306" w:rsidTr="00885C71">
        <w:trPr>
          <w:trHeight w:val="313"/>
        </w:trPr>
        <w:tc>
          <w:tcPr>
            <w:tcW w:w="9069" w:type="dxa"/>
            <w:gridSpan w:val="6"/>
            <w:tcBorders>
              <w:top w:val="nil"/>
              <w:left w:val="nil"/>
              <w:bottom w:val="nil"/>
              <w:right w:val="nil"/>
            </w:tcBorders>
            <w:shd w:val="clear" w:color="auto" w:fill="auto"/>
            <w:noWrap/>
            <w:vAlign w:val="bottom"/>
            <w:hideMark/>
          </w:tcPr>
          <w:p w:rsidR="00836306" w:rsidRPr="00836306" w:rsidRDefault="00836306" w:rsidP="00836306">
            <w:pPr>
              <w:rPr>
                <w:rFonts w:ascii="Arial" w:hAnsi="Arial" w:cs="Arial"/>
                <w:color w:val="002060"/>
                <w:sz w:val="20"/>
                <w:szCs w:val="20"/>
              </w:rPr>
            </w:pPr>
            <w:r>
              <w:rPr>
                <w:rFonts w:ascii="Arial" w:hAnsi="Arial" w:cs="Arial"/>
                <w:color w:val="002060"/>
                <w:sz w:val="20"/>
                <w:szCs w:val="20"/>
              </w:rPr>
              <w:t>Taula 2.</w:t>
            </w:r>
            <w:r w:rsidR="0036789D">
              <w:rPr>
                <w:rFonts w:ascii="Arial" w:hAnsi="Arial" w:cs="Arial"/>
                <w:color w:val="002060"/>
                <w:sz w:val="20"/>
                <w:szCs w:val="20"/>
              </w:rPr>
              <w:t>6</w:t>
            </w:r>
            <w:r>
              <w:rPr>
                <w:rFonts w:ascii="Arial" w:hAnsi="Arial" w:cs="Arial"/>
                <w:color w:val="002060"/>
                <w:sz w:val="20"/>
                <w:szCs w:val="20"/>
              </w:rPr>
              <w:t xml:space="preserve"> - </w:t>
            </w:r>
            <w:r w:rsidRPr="00836306">
              <w:rPr>
                <w:rFonts w:ascii="Arial" w:hAnsi="Arial" w:cs="Arial"/>
                <w:color w:val="002060"/>
                <w:sz w:val="20"/>
                <w:szCs w:val="20"/>
              </w:rPr>
              <w:t>Anàlisi dels períodes de cobrament i pagament de Laboratoris Hipra pels exercicis 2015 al 2019 (en dies)</w:t>
            </w:r>
          </w:p>
        </w:tc>
      </w:tr>
      <w:tr w:rsidR="00836306" w:rsidRPr="00836306" w:rsidTr="00885C71">
        <w:trPr>
          <w:trHeight w:val="313"/>
        </w:trPr>
        <w:tc>
          <w:tcPr>
            <w:tcW w:w="2946" w:type="dxa"/>
            <w:tcBorders>
              <w:top w:val="nil"/>
              <w:left w:val="nil"/>
              <w:bottom w:val="nil"/>
              <w:right w:val="nil"/>
            </w:tcBorders>
            <w:shd w:val="clear" w:color="auto" w:fill="auto"/>
            <w:noWrap/>
            <w:vAlign w:val="bottom"/>
            <w:hideMark/>
          </w:tcPr>
          <w:p w:rsidR="00836306" w:rsidRPr="00836306" w:rsidRDefault="00836306" w:rsidP="00836306">
            <w:pPr>
              <w:rPr>
                <w:rFonts w:ascii="Arial" w:hAnsi="Arial" w:cs="Arial"/>
                <w:color w:val="002060"/>
                <w:sz w:val="20"/>
                <w:szCs w:val="20"/>
              </w:rPr>
            </w:pPr>
          </w:p>
        </w:tc>
        <w:tc>
          <w:tcPr>
            <w:tcW w:w="1225" w:type="dxa"/>
            <w:tcBorders>
              <w:top w:val="nil"/>
              <w:left w:val="nil"/>
              <w:bottom w:val="nil"/>
              <w:right w:val="nil"/>
            </w:tcBorders>
            <w:shd w:val="clear" w:color="auto" w:fill="auto"/>
            <w:noWrap/>
            <w:vAlign w:val="bottom"/>
            <w:hideMark/>
          </w:tcPr>
          <w:p w:rsidR="00836306" w:rsidRPr="00836306" w:rsidRDefault="00836306" w:rsidP="00836306">
            <w:pPr>
              <w:rPr>
                <w:rFonts w:ascii="Arial" w:hAnsi="Arial" w:cs="Arial"/>
                <w:color w:val="002060"/>
                <w:sz w:val="20"/>
                <w:szCs w:val="20"/>
              </w:rPr>
            </w:pPr>
          </w:p>
        </w:tc>
        <w:tc>
          <w:tcPr>
            <w:tcW w:w="1224" w:type="dxa"/>
            <w:tcBorders>
              <w:top w:val="nil"/>
              <w:left w:val="nil"/>
              <w:bottom w:val="nil"/>
              <w:right w:val="nil"/>
            </w:tcBorders>
            <w:shd w:val="clear" w:color="auto" w:fill="auto"/>
            <w:noWrap/>
            <w:vAlign w:val="bottom"/>
            <w:hideMark/>
          </w:tcPr>
          <w:p w:rsidR="00836306" w:rsidRPr="00836306" w:rsidRDefault="00836306" w:rsidP="00836306">
            <w:pPr>
              <w:rPr>
                <w:rFonts w:ascii="Arial" w:hAnsi="Arial" w:cs="Arial"/>
                <w:color w:val="002060"/>
                <w:sz w:val="20"/>
                <w:szCs w:val="20"/>
              </w:rPr>
            </w:pPr>
          </w:p>
        </w:tc>
        <w:tc>
          <w:tcPr>
            <w:tcW w:w="1224" w:type="dxa"/>
            <w:tcBorders>
              <w:top w:val="nil"/>
              <w:left w:val="nil"/>
              <w:bottom w:val="nil"/>
              <w:right w:val="nil"/>
            </w:tcBorders>
            <w:shd w:val="clear" w:color="auto" w:fill="auto"/>
            <w:noWrap/>
            <w:vAlign w:val="bottom"/>
            <w:hideMark/>
          </w:tcPr>
          <w:p w:rsidR="00836306" w:rsidRPr="00836306" w:rsidRDefault="00836306" w:rsidP="00836306">
            <w:pPr>
              <w:rPr>
                <w:rFonts w:ascii="Arial" w:hAnsi="Arial" w:cs="Arial"/>
                <w:color w:val="002060"/>
                <w:sz w:val="20"/>
                <w:szCs w:val="20"/>
              </w:rPr>
            </w:pPr>
          </w:p>
        </w:tc>
        <w:tc>
          <w:tcPr>
            <w:tcW w:w="1224" w:type="dxa"/>
            <w:tcBorders>
              <w:top w:val="nil"/>
              <w:left w:val="nil"/>
              <w:bottom w:val="nil"/>
              <w:right w:val="nil"/>
            </w:tcBorders>
            <w:shd w:val="clear" w:color="auto" w:fill="auto"/>
            <w:noWrap/>
            <w:vAlign w:val="bottom"/>
            <w:hideMark/>
          </w:tcPr>
          <w:p w:rsidR="00836306" w:rsidRPr="00836306" w:rsidRDefault="00836306" w:rsidP="00836306">
            <w:pPr>
              <w:rPr>
                <w:rFonts w:ascii="Arial" w:hAnsi="Arial" w:cs="Arial"/>
                <w:color w:val="002060"/>
                <w:sz w:val="20"/>
                <w:szCs w:val="20"/>
              </w:rPr>
            </w:pPr>
          </w:p>
        </w:tc>
        <w:tc>
          <w:tcPr>
            <w:tcW w:w="1224" w:type="dxa"/>
            <w:tcBorders>
              <w:top w:val="nil"/>
              <w:left w:val="nil"/>
              <w:bottom w:val="nil"/>
              <w:right w:val="nil"/>
            </w:tcBorders>
            <w:shd w:val="clear" w:color="auto" w:fill="auto"/>
            <w:noWrap/>
            <w:vAlign w:val="bottom"/>
            <w:hideMark/>
          </w:tcPr>
          <w:p w:rsidR="00836306" w:rsidRPr="00836306" w:rsidRDefault="00836306" w:rsidP="00836306">
            <w:pPr>
              <w:rPr>
                <w:rFonts w:ascii="Arial" w:hAnsi="Arial" w:cs="Arial"/>
                <w:color w:val="002060"/>
                <w:sz w:val="20"/>
                <w:szCs w:val="20"/>
              </w:rPr>
            </w:pPr>
          </w:p>
        </w:tc>
      </w:tr>
      <w:tr w:rsidR="00836306" w:rsidRPr="00836306" w:rsidTr="00885C71">
        <w:trPr>
          <w:trHeight w:val="313"/>
        </w:trPr>
        <w:tc>
          <w:tcPr>
            <w:tcW w:w="2946" w:type="dxa"/>
            <w:tcBorders>
              <w:top w:val="nil"/>
              <w:left w:val="nil"/>
              <w:bottom w:val="nil"/>
              <w:right w:val="nil"/>
            </w:tcBorders>
            <w:shd w:val="clear" w:color="auto" w:fill="auto"/>
            <w:noWrap/>
            <w:vAlign w:val="bottom"/>
            <w:hideMark/>
          </w:tcPr>
          <w:p w:rsidR="00836306" w:rsidRPr="00836306" w:rsidRDefault="00836306" w:rsidP="00836306">
            <w:pPr>
              <w:rPr>
                <w:rFonts w:ascii="Arial" w:hAnsi="Arial" w:cs="Arial"/>
                <w:color w:val="002060"/>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306" w:rsidRPr="00836306" w:rsidRDefault="00836306" w:rsidP="00836306">
            <w:pPr>
              <w:jc w:val="center"/>
              <w:rPr>
                <w:rFonts w:ascii="Arial" w:hAnsi="Arial" w:cs="Arial"/>
                <w:b/>
                <w:bCs/>
                <w:color w:val="002060"/>
                <w:sz w:val="20"/>
                <w:szCs w:val="20"/>
              </w:rPr>
            </w:pPr>
            <w:r w:rsidRPr="00836306">
              <w:rPr>
                <w:rFonts w:ascii="Arial" w:hAnsi="Arial" w:cs="Arial"/>
                <w:b/>
                <w:bCs/>
                <w:color w:val="002060"/>
                <w:sz w:val="20"/>
                <w:szCs w:val="20"/>
              </w:rPr>
              <w:t>2015</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836306" w:rsidRPr="00836306" w:rsidRDefault="00836306" w:rsidP="00836306">
            <w:pPr>
              <w:jc w:val="center"/>
              <w:rPr>
                <w:rFonts w:ascii="Arial" w:hAnsi="Arial" w:cs="Arial"/>
                <w:b/>
                <w:bCs/>
                <w:color w:val="002060"/>
                <w:sz w:val="20"/>
                <w:szCs w:val="20"/>
              </w:rPr>
            </w:pPr>
            <w:r w:rsidRPr="00836306">
              <w:rPr>
                <w:rFonts w:ascii="Arial" w:hAnsi="Arial" w:cs="Arial"/>
                <w:b/>
                <w:bCs/>
                <w:color w:val="002060"/>
                <w:sz w:val="20"/>
                <w:szCs w:val="20"/>
              </w:rPr>
              <w:t>2016</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836306" w:rsidRPr="00836306" w:rsidRDefault="00836306" w:rsidP="00836306">
            <w:pPr>
              <w:jc w:val="center"/>
              <w:rPr>
                <w:rFonts w:ascii="Arial" w:hAnsi="Arial" w:cs="Arial"/>
                <w:b/>
                <w:bCs/>
                <w:color w:val="002060"/>
                <w:sz w:val="20"/>
                <w:szCs w:val="20"/>
              </w:rPr>
            </w:pPr>
            <w:r w:rsidRPr="00836306">
              <w:rPr>
                <w:rFonts w:ascii="Arial" w:hAnsi="Arial" w:cs="Arial"/>
                <w:b/>
                <w:bCs/>
                <w:color w:val="002060"/>
                <w:sz w:val="20"/>
                <w:szCs w:val="20"/>
              </w:rPr>
              <w:t>2017</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836306" w:rsidRPr="00836306" w:rsidRDefault="00836306" w:rsidP="00836306">
            <w:pPr>
              <w:jc w:val="center"/>
              <w:rPr>
                <w:rFonts w:ascii="Arial" w:hAnsi="Arial" w:cs="Arial"/>
                <w:b/>
                <w:bCs/>
                <w:color w:val="002060"/>
                <w:sz w:val="20"/>
                <w:szCs w:val="20"/>
              </w:rPr>
            </w:pPr>
            <w:r w:rsidRPr="00836306">
              <w:rPr>
                <w:rFonts w:ascii="Arial" w:hAnsi="Arial" w:cs="Arial"/>
                <w:b/>
                <w:bCs/>
                <w:color w:val="002060"/>
                <w:sz w:val="20"/>
                <w:szCs w:val="20"/>
              </w:rPr>
              <w:t>2018</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836306" w:rsidRPr="00836306" w:rsidRDefault="00836306" w:rsidP="00836306">
            <w:pPr>
              <w:jc w:val="center"/>
              <w:rPr>
                <w:rFonts w:ascii="Arial" w:hAnsi="Arial" w:cs="Arial"/>
                <w:b/>
                <w:bCs/>
                <w:color w:val="002060"/>
                <w:sz w:val="20"/>
                <w:szCs w:val="20"/>
              </w:rPr>
            </w:pPr>
            <w:r w:rsidRPr="00836306">
              <w:rPr>
                <w:rFonts w:ascii="Arial" w:hAnsi="Arial" w:cs="Arial"/>
                <w:b/>
                <w:bCs/>
                <w:color w:val="002060"/>
                <w:sz w:val="20"/>
                <w:szCs w:val="20"/>
              </w:rPr>
              <w:t>2019</w:t>
            </w:r>
          </w:p>
        </w:tc>
      </w:tr>
      <w:tr w:rsidR="00836306" w:rsidRPr="00836306" w:rsidTr="00885C71">
        <w:trPr>
          <w:trHeight w:val="313"/>
        </w:trPr>
        <w:tc>
          <w:tcPr>
            <w:tcW w:w="2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306" w:rsidRPr="00836306" w:rsidRDefault="00836306" w:rsidP="00836306">
            <w:pPr>
              <w:rPr>
                <w:rFonts w:ascii="Arial" w:hAnsi="Arial" w:cs="Arial"/>
                <w:b/>
                <w:bCs/>
                <w:color w:val="002060"/>
                <w:sz w:val="20"/>
                <w:szCs w:val="20"/>
              </w:rPr>
            </w:pPr>
            <w:r w:rsidRPr="00836306">
              <w:rPr>
                <w:rFonts w:ascii="Arial" w:hAnsi="Arial" w:cs="Arial"/>
                <w:b/>
                <w:bCs/>
                <w:color w:val="002060"/>
                <w:sz w:val="20"/>
                <w:szCs w:val="20"/>
              </w:rPr>
              <w:t>Existències</w:t>
            </w:r>
          </w:p>
        </w:tc>
        <w:tc>
          <w:tcPr>
            <w:tcW w:w="1225" w:type="dxa"/>
            <w:tcBorders>
              <w:top w:val="nil"/>
              <w:left w:val="nil"/>
              <w:bottom w:val="single" w:sz="4" w:space="0" w:color="auto"/>
              <w:right w:val="single" w:sz="4" w:space="0" w:color="auto"/>
            </w:tcBorders>
            <w:shd w:val="clear" w:color="auto" w:fill="auto"/>
            <w:noWrap/>
            <w:vAlign w:val="bottom"/>
            <w:hideMark/>
          </w:tcPr>
          <w:p w:rsidR="00836306" w:rsidRPr="00836306" w:rsidRDefault="00836306" w:rsidP="00836306">
            <w:pPr>
              <w:jc w:val="center"/>
              <w:rPr>
                <w:rFonts w:ascii="Arial" w:hAnsi="Arial" w:cs="Arial"/>
                <w:color w:val="002060"/>
                <w:sz w:val="20"/>
                <w:szCs w:val="20"/>
              </w:rPr>
            </w:pPr>
            <w:r w:rsidRPr="00836306">
              <w:rPr>
                <w:rFonts w:ascii="Arial" w:hAnsi="Arial" w:cs="Arial"/>
                <w:color w:val="002060"/>
                <w:sz w:val="20"/>
                <w:szCs w:val="20"/>
              </w:rPr>
              <w:t>57</w:t>
            </w:r>
          </w:p>
        </w:tc>
        <w:tc>
          <w:tcPr>
            <w:tcW w:w="1224" w:type="dxa"/>
            <w:tcBorders>
              <w:top w:val="nil"/>
              <w:left w:val="nil"/>
              <w:bottom w:val="single" w:sz="4" w:space="0" w:color="auto"/>
              <w:right w:val="single" w:sz="4" w:space="0" w:color="auto"/>
            </w:tcBorders>
            <w:shd w:val="clear" w:color="auto" w:fill="auto"/>
            <w:noWrap/>
            <w:vAlign w:val="bottom"/>
            <w:hideMark/>
          </w:tcPr>
          <w:p w:rsidR="00836306" w:rsidRPr="00836306" w:rsidRDefault="00836306" w:rsidP="00836306">
            <w:pPr>
              <w:jc w:val="center"/>
              <w:rPr>
                <w:rFonts w:ascii="Arial" w:hAnsi="Arial" w:cs="Arial"/>
                <w:color w:val="002060"/>
                <w:sz w:val="20"/>
                <w:szCs w:val="20"/>
              </w:rPr>
            </w:pPr>
            <w:r w:rsidRPr="00836306">
              <w:rPr>
                <w:rFonts w:ascii="Arial" w:hAnsi="Arial" w:cs="Arial"/>
                <w:color w:val="002060"/>
                <w:sz w:val="20"/>
                <w:szCs w:val="20"/>
              </w:rPr>
              <w:t>56</w:t>
            </w:r>
          </w:p>
        </w:tc>
        <w:tc>
          <w:tcPr>
            <w:tcW w:w="1224" w:type="dxa"/>
            <w:tcBorders>
              <w:top w:val="nil"/>
              <w:left w:val="nil"/>
              <w:bottom w:val="single" w:sz="4" w:space="0" w:color="auto"/>
              <w:right w:val="single" w:sz="4" w:space="0" w:color="auto"/>
            </w:tcBorders>
            <w:shd w:val="clear" w:color="auto" w:fill="auto"/>
            <w:noWrap/>
            <w:vAlign w:val="bottom"/>
            <w:hideMark/>
          </w:tcPr>
          <w:p w:rsidR="00836306" w:rsidRPr="00836306" w:rsidRDefault="00836306" w:rsidP="00836306">
            <w:pPr>
              <w:jc w:val="center"/>
              <w:rPr>
                <w:rFonts w:ascii="Arial" w:hAnsi="Arial" w:cs="Arial"/>
                <w:color w:val="002060"/>
                <w:sz w:val="20"/>
                <w:szCs w:val="20"/>
              </w:rPr>
            </w:pPr>
            <w:r w:rsidRPr="00836306">
              <w:rPr>
                <w:rFonts w:ascii="Arial" w:hAnsi="Arial" w:cs="Arial"/>
                <w:color w:val="002060"/>
                <w:sz w:val="20"/>
                <w:szCs w:val="20"/>
              </w:rPr>
              <w:t>58</w:t>
            </w:r>
          </w:p>
        </w:tc>
        <w:tc>
          <w:tcPr>
            <w:tcW w:w="1224" w:type="dxa"/>
            <w:tcBorders>
              <w:top w:val="nil"/>
              <w:left w:val="nil"/>
              <w:bottom w:val="single" w:sz="4" w:space="0" w:color="auto"/>
              <w:right w:val="single" w:sz="4" w:space="0" w:color="auto"/>
            </w:tcBorders>
            <w:shd w:val="clear" w:color="auto" w:fill="auto"/>
            <w:noWrap/>
            <w:vAlign w:val="bottom"/>
            <w:hideMark/>
          </w:tcPr>
          <w:p w:rsidR="00836306" w:rsidRPr="00836306" w:rsidRDefault="00836306" w:rsidP="00836306">
            <w:pPr>
              <w:jc w:val="center"/>
              <w:rPr>
                <w:rFonts w:ascii="Arial" w:hAnsi="Arial" w:cs="Arial"/>
                <w:color w:val="002060"/>
                <w:sz w:val="20"/>
                <w:szCs w:val="20"/>
              </w:rPr>
            </w:pPr>
            <w:r w:rsidRPr="00836306">
              <w:rPr>
                <w:rFonts w:ascii="Arial" w:hAnsi="Arial" w:cs="Arial"/>
                <w:color w:val="002060"/>
                <w:sz w:val="20"/>
                <w:szCs w:val="20"/>
              </w:rPr>
              <w:t>64</w:t>
            </w:r>
          </w:p>
        </w:tc>
        <w:tc>
          <w:tcPr>
            <w:tcW w:w="1224" w:type="dxa"/>
            <w:tcBorders>
              <w:top w:val="nil"/>
              <w:left w:val="nil"/>
              <w:bottom w:val="single" w:sz="4" w:space="0" w:color="auto"/>
              <w:right w:val="single" w:sz="4" w:space="0" w:color="auto"/>
            </w:tcBorders>
            <w:shd w:val="clear" w:color="auto" w:fill="auto"/>
            <w:noWrap/>
            <w:vAlign w:val="bottom"/>
            <w:hideMark/>
          </w:tcPr>
          <w:p w:rsidR="00836306" w:rsidRPr="00836306" w:rsidRDefault="00836306" w:rsidP="00836306">
            <w:pPr>
              <w:jc w:val="center"/>
              <w:rPr>
                <w:rFonts w:ascii="Arial" w:hAnsi="Arial" w:cs="Arial"/>
                <w:color w:val="002060"/>
                <w:sz w:val="20"/>
                <w:szCs w:val="20"/>
              </w:rPr>
            </w:pPr>
            <w:r w:rsidRPr="00836306">
              <w:rPr>
                <w:rFonts w:ascii="Arial" w:hAnsi="Arial" w:cs="Arial"/>
                <w:color w:val="002060"/>
                <w:sz w:val="20"/>
                <w:szCs w:val="20"/>
              </w:rPr>
              <w:t>72</w:t>
            </w:r>
          </w:p>
        </w:tc>
      </w:tr>
      <w:tr w:rsidR="00836306" w:rsidRPr="00836306" w:rsidTr="00885C71">
        <w:trPr>
          <w:trHeight w:val="313"/>
        </w:trPr>
        <w:tc>
          <w:tcPr>
            <w:tcW w:w="2946" w:type="dxa"/>
            <w:tcBorders>
              <w:top w:val="nil"/>
              <w:left w:val="single" w:sz="4" w:space="0" w:color="auto"/>
              <w:bottom w:val="single" w:sz="4" w:space="0" w:color="auto"/>
              <w:right w:val="single" w:sz="4" w:space="0" w:color="auto"/>
            </w:tcBorders>
            <w:shd w:val="clear" w:color="auto" w:fill="auto"/>
            <w:noWrap/>
            <w:vAlign w:val="bottom"/>
            <w:hideMark/>
          </w:tcPr>
          <w:p w:rsidR="00836306" w:rsidRPr="00836306" w:rsidRDefault="00836306" w:rsidP="00836306">
            <w:pPr>
              <w:rPr>
                <w:rFonts w:ascii="Arial" w:hAnsi="Arial" w:cs="Arial"/>
                <w:b/>
                <w:bCs/>
                <w:color w:val="002060"/>
                <w:sz w:val="20"/>
                <w:szCs w:val="20"/>
              </w:rPr>
            </w:pPr>
            <w:r w:rsidRPr="00836306">
              <w:rPr>
                <w:rFonts w:ascii="Arial" w:hAnsi="Arial" w:cs="Arial"/>
                <w:b/>
                <w:bCs/>
                <w:color w:val="002060"/>
                <w:sz w:val="20"/>
                <w:szCs w:val="20"/>
              </w:rPr>
              <w:t>Cobraments</w:t>
            </w:r>
          </w:p>
        </w:tc>
        <w:tc>
          <w:tcPr>
            <w:tcW w:w="1225" w:type="dxa"/>
            <w:tcBorders>
              <w:top w:val="nil"/>
              <w:left w:val="nil"/>
              <w:bottom w:val="single" w:sz="4" w:space="0" w:color="auto"/>
              <w:right w:val="single" w:sz="4" w:space="0" w:color="auto"/>
            </w:tcBorders>
            <w:shd w:val="clear" w:color="auto" w:fill="auto"/>
            <w:noWrap/>
            <w:vAlign w:val="bottom"/>
            <w:hideMark/>
          </w:tcPr>
          <w:p w:rsidR="00836306" w:rsidRPr="00836306" w:rsidRDefault="00836306" w:rsidP="00836306">
            <w:pPr>
              <w:jc w:val="center"/>
              <w:rPr>
                <w:rFonts w:ascii="Arial" w:hAnsi="Arial" w:cs="Arial"/>
                <w:color w:val="002060"/>
                <w:sz w:val="20"/>
                <w:szCs w:val="20"/>
              </w:rPr>
            </w:pPr>
            <w:r w:rsidRPr="00836306">
              <w:rPr>
                <w:rFonts w:ascii="Arial" w:hAnsi="Arial" w:cs="Arial"/>
                <w:color w:val="002060"/>
                <w:sz w:val="20"/>
                <w:szCs w:val="20"/>
              </w:rPr>
              <w:t>94</w:t>
            </w:r>
          </w:p>
        </w:tc>
        <w:tc>
          <w:tcPr>
            <w:tcW w:w="1224" w:type="dxa"/>
            <w:tcBorders>
              <w:top w:val="nil"/>
              <w:left w:val="nil"/>
              <w:bottom w:val="single" w:sz="4" w:space="0" w:color="auto"/>
              <w:right w:val="single" w:sz="4" w:space="0" w:color="auto"/>
            </w:tcBorders>
            <w:shd w:val="clear" w:color="auto" w:fill="auto"/>
            <w:noWrap/>
            <w:vAlign w:val="bottom"/>
            <w:hideMark/>
          </w:tcPr>
          <w:p w:rsidR="00836306" w:rsidRPr="00836306" w:rsidRDefault="00836306" w:rsidP="00836306">
            <w:pPr>
              <w:jc w:val="center"/>
              <w:rPr>
                <w:rFonts w:ascii="Arial" w:hAnsi="Arial" w:cs="Arial"/>
                <w:color w:val="002060"/>
                <w:sz w:val="20"/>
                <w:szCs w:val="20"/>
              </w:rPr>
            </w:pPr>
            <w:r w:rsidRPr="00836306">
              <w:rPr>
                <w:rFonts w:ascii="Arial" w:hAnsi="Arial" w:cs="Arial"/>
                <w:color w:val="002060"/>
                <w:sz w:val="20"/>
                <w:szCs w:val="20"/>
              </w:rPr>
              <w:t>96</w:t>
            </w:r>
          </w:p>
        </w:tc>
        <w:tc>
          <w:tcPr>
            <w:tcW w:w="1224" w:type="dxa"/>
            <w:tcBorders>
              <w:top w:val="nil"/>
              <w:left w:val="nil"/>
              <w:bottom w:val="single" w:sz="4" w:space="0" w:color="auto"/>
              <w:right w:val="single" w:sz="4" w:space="0" w:color="auto"/>
            </w:tcBorders>
            <w:shd w:val="clear" w:color="auto" w:fill="auto"/>
            <w:noWrap/>
            <w:vAlign w:val="bottom"/>
            <w:hideMark/>
          </w:tcPr>
          <w:p w:rsidR="00836306" w:rsidRPr="00836306" w:rsidRDefault="00836306" w:rsidP="00836306">
            <w:pPr>
              <w:jc w:val="center"/>
              <w:rPr>
                <w:rFonts w:ascii="Arial" w:hAnsi="Arial" w:cs="Arial"/>
                <w:color w:val="002060"/>
                <w:sz w:val="20"/>
                <w:szCs w:val="20"/>
              </w:rPr>
            </w:pPr>
            <w:r w:rsidRPr="00836306">
              <w:rPr>
                <w:rFonts w:ascii="Arial" w:hAnsi="Arial" w:cs="Arial"/>
                <w:color w:val="002060"/>
                <w:sz w:val="20"/>
                <w:szCs w:val="20"/>
              </w:rPr>
              <w:t>88</w:t>
            </w:r>
          </w:p>
        </w:tc>
        <w:tc>
          <w:tcPr>
            <w:tcW w:w="1224" w:type="dxa"/>
            <w:tcBorders>
              <w:top w:val="nil"/>
              <w:left w:val="nil"/>
              <w:bottom w:val="single" w:sz="4" w:space="0" w:color="auto"/>
              <w:right w:val="single" w:sz="4" w:space="0" w:color="auto"/>
            </w:tcBorders>
            <w:shd w:val="clear" w:color="auto" w:fill="auto"/>
            <w:noWrap/>
            <w:vAlign w:val="bottom"/>
            <w:hideMark/>
          </w:tcPr>
          <w:p w:rsidR="00836306" w:rsidRPr="00836306" w:rsidRDefault="00836306" w:rsidP="00836306">
            <w:pPr>
              <w:jc w:val="center"/>
              <w:rPr>
                <w:rFonts w:ascii="Arial" w:hAnsi="Arial" w:cs="Arial"/>
                <w:color w:val="002060"/>
                <w:sz w:val="20"/>
                <w:szCs w:val="20"/>
              </w:rPr>
            </w:pPr>
            <w:r w:rsidRPr="00836306">
              <w:rPr>
                <w:rFonts w:ascii="Arial" w:hAnsi="Arial" w:cs="Arial"/>
                <w:color w:val="002060"/>
                <w:sz w:val="20"/>
                <w:szCs w:val="20"/>
              </w:rPr>
              <w:t>79</w:t>
            </w:r>
          </w:p>
        </w:tc>
        <w:tc>
          <w:tcPr>
            <w:tcW w:w="1224" w:type="dxa"/>
            <w:tcBorders>
              <w:top w:val="nil"/>
              <w:left w:val="nil"/>
              <w:bottom w:val="single" w:sz="4" w:space="0" w:color="auto"/>
              <w:right w:val="single" w:sz="4" w:space="0" w:color="auto"/>
            </w:tcBorders>
            <w:shd w:val="clear" w:color="auto" w:fill="auto"/>
            <w:noWrap/>
            <w:vAlign w:val="bottom"/>
            <w:hideMark/>
          </w:tcPr>
          <w:p w:rsidR="00836306" w:rsidRPr="00836306" w:rsidRDefault="00836306" w:rsidP="00836306">
            <w:pPr>
              <w:jc w:val="center"/>
              <w:rPr>
                <w:rFonts w:ascii="Arial" w:hAnsi="Arial" w:cs="Arial"/>
                <w:color w:val="002060"/>
                <w:sz w:val="20"/>
                <w:szCs w:val="20"/>
              </w:rPr>
            </w:pPr>
            <w:r w:rsidRPr="00836306">
              <w:rPr>
                <w:rFonts w:ascii="Arial" w:hAnsi="Arial" w:cs="Arial"/>
                <w:color w:val="002060"/>
                <w:sz w:val="20"/>
                <w:szCs w:val="20"/>
              </w:rPr>
              <w:t>82</w:t>
            </w:r>
          </w:p>
        </w:tc>
      </w:tr>
      <w:tr w:rsidR="00836306" w:rsidRPr="00836306" w:rsidTr="00885C71">
        <w:trPr>
          <w:trHeight w:val="313"/>
        </w:trPr>
        <w:tc>
          <w:tcPr>
            <w:tcW w:w="2946" w:type="dxa"/>
            <w:tcBorders>
              <w:top w:val="nil"/>
              <w:left w:val="single" w:sz="4" w:space="0" w:color="auto"/>
              <w:bottom w:val="single" w:sz="4" w:space="0" w:color="auto"/>
              <w:right w:val="single" w:sz="4" w:space="0" w:color="auto"/>
            </w:tcBorders>
            <w:shd w:val="clear" w:color="auto" w:fill="auto"/>
            <w:noWrap/>
            <w:vAlign w:val="bottom"/>
            <w:hideMark/>
          </w:tcPr>
          <w:p w:rsidR="00836306" w:rsidRPr="00836306" w:rsidRDefault="00836306" w:rsidP="00836306">
            <w:pPr>
              <w:rPr>
                <w:rFonts w:ascii="Arial" w:hAnsi="Arial" w:cs="Arial"/>
                <w:b/>
                <w:bCs/>
                <w:color w:val="002060"/>
                <w:sz w:val="20"/>
                <w:szCs w:val="20"/>
              </w:rPr>
            </w:pPr>
            <w:r w:rsidRPr="00836306">
              <w:rPr>
                <w:rFonts w:ascii="Arial" w:hAnsi="Arial" w:cs="Arial"/>
                <w:b/>
                <w:bCs/>
                <w:color w:val="002060"/>
                <w:sz w:val="20"/>
                <w:szCs w:val="20"/>
              </w:rPr>
              <w:t>Pagaments</w:t>
            </w:r>
          </w:p>
        </w:tc>
        <w:tc>
          <w:tcPr>
            <w:tcW w:w="1225" w:type="dxa"/>
            <w:tcBorders>
              <w:top w:val="nil"/>
              <w:left w:val="nil"/>
              <w:bottom w:val="single" w:sz="4" w:space="0" w:color="auto"/>
              <w:right w:val="single" w:sz="4" w:space="0" w:color="auto"/>
            </w:tcBorders>
            <w:shd w:val="clear" w:color="auto" w:fill="auto"/>
            <w:noWrap/>
            <w:vAlign w:val="bottom"/>
            <w:hideMark/>
          </w:tcPr>
          <w:p w:rsidR="00836306" w:rsidRPr="00836306" w:rsidRDefault="00836306" w:rsidP="00836306">
            <w:pPr>
              <w:jc w:val="center"/>
              <w:rPr>
                <w:rFonts w:ascii="Arial" w:hAnsi="Arial" w:cs="Arial"/>
                <w:color w:val="002060"/>
                <w:sz w:val="20"/>
                <w:szCs w:val="20"/>
              </w:rPr>
            </w:pPr>
            <w:r w:rsidRPr="00836306">
              <w:rPr>
                <w:rFonts w:ascii="Arial" w:hAnsi="Arial" w:cs="Arial"/>
                <w:color w:val="002060"/>
                <w:sz w:val="20"/>
                <w:szCs w:val="20"/>
              </w:rPr>
              <w:t>29</w:t>
            </w:r>
          </w:p>
        </w:tc>
        <w:tc>
          <w:tcPr>
            <w:tcW w:w="1224" w:type="dxa"/>
            <w:tcBorders>
              <w:top w:val="nil"/>
              <w:left w:val="nil"/>
              <w:bottom w:val="single" w:sz="4" w:space="0" w:color="auto"/>
              <w:right w:val="single" w:sz="4" w:space="0" w:color="auto"/>
            </w:tcBorders>
            <w:shd w:val="clear" w:color="auto" w:fill="auto"/>
            <w:noWrap/>
            <w:vAlign w:val="bottom"/>
            <w:hideMark/>
          </w:tcPr>
          <w:p w:rsidR="00836306" w:rsidRPr="00836306" w:rsidRDefault="00836306" w:rsidP="00836306">
            <w:pPr>
              <w:jc w:val="center"/>
              <w:rPr>
                <w:rFonts w:ascii="Arial" w:hAnsi="Arial" w:cs="Arial"/>
                <w:color w:val="002060"/>
                <w:sz w:val="20"/>
                <w:szCs w:val="20"/>
              </w:rPr>
            </w:pPr>
            <w:r w:rsidRPr="00836306">
              <w:rPr>
                <w:rFonts w:ascii="Arial" w:hAnsi="Arial" w:cs="Arial"/>
                <w:color w:val="002060"/>
                <w:sz w:val="20"/>
                <w:szCs w:val="20"/>
              </w:rPr>
              <w:t>28</w:t>
            </w:r>
          </w:p>
        </w:tc>
        <w:tc>
          <w:tcPr>
            <w:tcW w:w="1224" w:type="dxa"/>
            <w:tcBorders>
              <w:top w:val="nil"/>
              <w:left w:val="nil"/>
              <w:bottom w:val="single" w:sz="4" w:space="0" w:color="auto"/>
              <w:right w:val="single" w:sz="4" w:space="0" w:color="auto"/>
            </w:tcBorders>
            <w:shd w:val="clear" w:color="auto" w:fill="auto"/>
            <w:noWrap/>
            <w:vAlign w:val="bottom"/>
            <w:hideMark/>
          </w:tcPr>
          <w:p w:rsidR="00836306" w:rsidRPr="00836306" w:rsidRDefault="00836306" w:rsidP="00836306">
            <w:pPr>
              <w:jc w:val="center"/>
              <w:rPr>
                <w:rFonts w:ascii="Arial" w:hAnsi="Arial" w:cs="Arial"/>
                <w:color w:val="002060"/>
                <w:sz w:val="20"/>
                <w:szCs w:val="20"/>
              </w:rPr>
            </w:pPr>
            <w:r w:rsidRPr="00836306">
              <w:rPr>
                <w:rFonts w:ascii="Arial" w:hAnsi="Arial" w:cs="Arial"/>
                <w:color w:val="002060"/>
                <w:sz w:val="20"/>
                <w:szCs w:val="20"/>
              </w:rPr>
              <w:t>26</w:t>
            </w:r>
          </w:p>
        </w:tc>
        <w:tc>
          <w:tcPr>
            <w:tcW w:w="1224" w:type="dxa"/>
            <w:tcBorders>
              <w:top w:val="nil"/>
              <w:left w:val="nil"/>
              <w:bottom w:val="single" w:sz="4" w:space="0" w:color="auto"/>
              <w:right w:val="single" w:sz="4" w:space="0" w:color="auto"/>
            </w:tcBorders>
            <w:shd w:val="clear" w:color="auto" w:fill="auto"/>
            <w:noWrap/>
            <w:vAlign w:val="bottom"/>
            <w:hideMark/>
          </w:tcPr>
          <w:p w:rsidR="00836306" w:rsidRPr="00836306" w:rsidRDefault="00836306" w:rsidP="00836306">
            <w:pPr>
              <w:jc w:val="center"/>
              <w:rPr>
                <w:rFonts w:ascii="Arial" w:hAnsi="Arial" w:cs="Arial"/>
                <w:color w:val="002060"/>
                <w:sz w:val="20"/>
                <w:szCs w:val="20"/>
              </w:rPr>
            </w:pPr>
            <w:r w:rsidRPr="00836306">
              <w:rPr>
                <w:rFonts w:ascii="Arial" w:hAnsi="Arial" w:cs="Arial"/>
                <w:color w:val="002060"/>
                <w:sz w:val="20"/>
                <w:szCs w:val="20"/>
              </w:rPr>
              <w:t>26</w:t>
            </w:r>
          </w:p>
        </w:tc>
        <w:tc>
          <w:tcPr>
            <w:tcW w:w="1224" w:type="dxa"/>
            <w:tcBorders>
              <w:top w:val="nil"/>
              <w:left w:val="nil"/>
              <w:bottom w:val="single" w:sz="4" w:space="0" w:color="auto"/>
              <w:right w:val="single" w:sz="4" w:space="0" w:color="auto"/>
            </w:tcBorders>
            <w:shd w:val="clear" w:color="auto" w:fill="auto"/>
            <w:noWrap/>
            <w:vAlign w:val="bottom"/>
            <w:hideMark/>
          </w:tcPr>
          <w:p w:rsidR="00836306" w:rsidRPr="00836306" w:rsidRDefault="00836306" w:rsidP="00836306">
            <w:pPr>
              <w:jc w:val="center"/>
              <w:rPr>
                <w:rFonts w:ascii="Arial" w:hAnsi="Arial" w:cs="Arial"/>
                <w:color w:val="002060"/>
                <w:sz w:val="20"/>
                <w:szCs w:val="20"/>
              </w:rPr>
            </w:pPr>
            <w:r w:rsidRPr="00836306">
              <w:rPr>
                <w:rFonts w:ascii="Arial" w:hAnsi="Arial" w:cs="Arial"/>
                <w:color w:val="002060"/>
                <w:sz w:val="20"/>
                <w:szCs w:val="20"/>
              </w:rPr>
              <w:t>24</w:t>
            </w:r>
          </w:p>
        </w:tc>
      </w:tr>
      <w:tr w:rsidR="00836306" w:rsidRPr="00836306" w:rsidTr="00885C71">
        <w:trPr>
          <w:trHeight w:val="313"/>
        </w:trPr>
        <w:tc>
          <w:tcPr>
            <w:tcW w:w="2946" w:type="dxa"/>
            <w:tcBorders>
              <w:top w:val="nil"/>
              <w:left w:val="single" w:sz="4" w:space="0" w:color="auto"/>
              <w:bottom w:val="single" w:sz="4" w:space="0" w:color="auto"/>
              <w:right w:val="single" w:sz="4" w:space="0" w:color="auto"/>
            </w:tcBorders>
            <w:shd w:val="clear" w:color="000000" w:fill="E7E6E6"/>
            <w:noWrap/>
            <w:vAlign w:val="bottom"/>
            <w:hideMark/>
          </w:tcPr>
          <w:p w:rsidR="00836306" w:rsidRPr="00836306" w:rsidRDefault="00836306" w:rsidP="00836306">
            <w:pPr>
              <w:rPr>
                <w:rFonts w:ascii="Arial" w:hAnsi="Arial" w:cs="Arial"/>
                <w:b/>
                <w:bCs/>
                <w:color w:val="002060"/>
                <w:sz w:val="20"/>
                <w:szCs w:val="20"/>
              </w:rPr>
            </w:pPr>
            <w:r w:rsidRPr="00836306">
              <w:rPr>
                <w:rFonts w:ascii="Arial" w:hAnsi="Arial" w:cs="Arial"/>
                <w:b/>
                <w:bCs/>
                <w:color w:val="002060"/>
                <w:sz w:val="20"/>
                <w:szCs w:val="20"/>
              </w:rPr>
              <w:t>Diferència</w:t>
            </w:r>
          </w:p>
        </w:tc>
        <w:tc>
          <w:tcPr>
            <w:tcW w:w="1225" w:type="dxa"/>
            <w:tcBorders>
              <w:top w:val="nil"/>
              <w:left w:val="nil"/>
              <w:bottom w:val="single" w:sz="4" w:space="0" w:color="auto"/>
              <w:right w:val="single" w:sz="4" w:space="0" w:color="auto"/>
            </w:tcBorders>
            <w:shd w:val="clear" w:color="000000" w:fill="E7E6E6"/>
            <w:noWrap/>
            <w:vAlign w:val="bottom"/>
            <w:hideMark/>
          </w:tcPr>
          <w:p w:rsidR="00836306" w:rsidRPr="00836306" w:rsidRDefault="00836306" w:rsidP="00836306">
            <w:pPr>
              <w:jc w:val="center"/>
              <w:rPr>
                <w:rFonts w:ascii="Arial" w:hAnsi="Arial" w:cs="Arial"/>
                <w:b/>
                <w:bCs/>
                <w:color w:val="002060"/>
                <w:sz w:val="20"/>
                <w:szCs w:val="20"/>
              </w:rPr>
            </w:pPr>
            <w:r w:rsidRPr="00836306">
              <w:rPr>
                <w:rFonts w:ascii="Arial" w:hAnsi="Arial" w:cs="Arial"/>
                <w:b/>
                <w:bCs/>
                <w:color w:val="002060"/>
                <w:sz w:val="20"/>
                <w:szCs w:val="20"/>
              </w:rPr>
              <w:t>122</w:t>
            </w:r>
          </w:p>
        </w:tc>
        <w:tc>
          <w:tcPr>
            <w:tcW w:w="1224" w:type="dxa"/>
            <w:tcBorders>
              <w:top w:val="nil"/>
              <w:left w:val="nil"/>
              <w:bottom w:val="single" w:sz="4" w:space="0" w:color="auto"/>
              <w:right w:val="single" w:sz="4" w:space="0" w:color="auto"/>
            </w:tcBorders>
            <w:shd w:val="clear" w:color="000000" w:fill="E7E6E6"/>
            <w:noWrap/>
            <w:vAlign w:val="bottom"/>
            <w:hideMark/>
          </w:tcPr>
          <w:p w:rsidR="00836306" w:rsidRPr="00836306" w:rsidRDefault="00836306" w:rsidP="00836306">
            <w:pPr>
              <w:jc w:val="center"/>
              <w:rPr>
                <w:rFonts w:ascii="Arial" w:hAnsi="Arial" w:cs="Arial"/>
                <w:b/>
                <w:bCs/>
                <w:color w:val="002060"/>
                <w:sz w:val="20"/>
                <w:szCs w:val="20"/>
              </w:rPr>
            </w:pPr>
            <w:r w:rsidRPr="00836306">
              <w:rPr>
                <w:rFonts w:ascii="Arial" w:hAnsi="Arial" w:cs="Arial"/>
                <w:b/>
                <w:bCs/>
                <w:color w:val="002060"/>
                <w:sz w:val="20"/>
                <w:szCs w:val="20"/>
              </w:rPr>
              <w:t>124</w:t>
            </w:r>
          </w:p>
        </w:tc>
        <w:tc>
          <w:tcPr>
            <w:tcW w:w="1224" w:type="dxa"/>
            <w:tcBorders>
              <w:top w:val="nil"/>
              <w:left w:val="nil"/>
              <w:bottom w:val="single" w:sz="4" w:space="0" w:color="auto"/>
              <w:right w:val="single" w:sz="4" w:space="0" w:color="auto"/>
            </w:tcBorders>
            <w:shd w:val="clear" w:color="000000" w:fill="E7E6E6"/>
            <w:noWrap/>
            <w:vAlign w:val="bottom"/>
            <w:hideMark/>
          </w:tcPr>
          <w:p w:rsidR="00836306" w:rsidRPr="00836306" w:rsidRDefault="00836306" w:rsidP="00836306">
            <w:pPr>
              <w:jc w:val="center"/>
              <w:rPr>
                <w:rFonts w:ascii="Arial" w:hAnsi="Arial" w:cs="Arial"/>
                <w:b/>
                <w:bCs/>
                <w:color w:val="002060"/>
                <w:sz w:val="20"/>
                <w:szCs w:val="20"/>
              </w:rPr>
            </w:pPr>
            <w:r w:rsidRPr="00836306">
              <w:rPr>
                <w:rFonts w:ascii="Arial" w:hAnsi="Arial" w:cs="Arial"/>
                <w:b/>
                <w:bCs/>
                <w:color w:val="002060"/>
                <w:sz w:val="20"/>
                <w:szCs w:val="20"/>
              </w:rPr>
              <w:t>120</w:t>
            </w:r>
          </w:p>
        </w:tc>
        <w:tc>
          <w:tcPr>
            <w:tcW w:w="1224" w:type="dxa"/>
            <w:tcBorders>
              <w:top w:val="nil"/>
              <w:left w:val="nil"/>
              <w:bottom w:val="single" w:sz="4" w:space="0" w:color="auto"/>
              <w:right w:val="single" w:sz="4" w:space="0" w:color="auto"/>
            </w:tcBorders>
            <w:shd w:val="clear" w:color="000000" w:fill="E7E6E6"/>
            <w:noWrap/>
            <w:vAlign w:val="bottom"/>
            <w:hideMark/>
          </w:tcPr>
          <w:p w:rsidR="00836306" w:rsidRPr="00836306" w:rsidRDefault="00836306" w:rsidP="00836306">
            <w:pPr>
              <w:jc w:val="center"/>
              <w:rPr>
                <w:rFonts w:ascii="Arial" w:hAnsi="Arial" w:cs="Arial"/>
                <w:b/>
                <w:bCs/>
                <w:color w:val="002060"/>
                <w:sz w:val="20"/>
                <w:szCs w:val="20"/>
              </w:rPr>
            </w:pPr>
            <w:r w:rsidRPr="00836306">
              <w:rPr>
                <w:rFonts w:ascii="Arial" w:hAnsi="Arial" w:cs="Arial"/>
                <w:b/>
                <w:bCs/>
                <w:color w:val="002060"/>
                <w:sz w:val="20"/>
                <w:szCs w:val="20"/>
              </w:rPr>
              <w:t>117</w:t>
            </w:r>
          </w:p>
        </w:tc>
        <w:tc>
          <w:tcPr>
            <w:tcW w:w="1224" w:type="dxa"/>
            <w:tcBorders>
              <w:top w:val="nil"/>
              <w:left w:val="nil"/>
              <w:bottom w:val="single" w:sz="4" w:space="0" w:color="auto"/>
              <w:right w:val="single" w:sz="4" w:space="0" w:color="auto"/>
            </w:tcBorders>
            <w:shd w:val="clear" w:color="000000" w:fill="E7E6E6"/>
            <w:noWrap/>
            <w:vAlign w:val="bottom"/>
            <w:hideMark/>
          </w:tcPr>
          <w:p w:rsidR="00836306" w:rsidRPr="00836306" w:rsidRDefault="00836306" w:rsidP="00836306">
            <w:pPr>
              <w:jc w:val="center"/>
              <w:rPr>
                <w:rFonts w:ascii="Arial" w:hAnsi="Arial" w:cs="Arial"/>
                <w:b/>
                <w:bCs/>
                <w:color w:val="002060"/>
                <w:sz w:val="20"/>
                <w:szCs w:val="20"/>
              </w:rPr>
            </w:pPr>
            <w:r w:rsidRPr="00836306">
              <w:rPr>
                <w:rFonts w:ascii="Arial" w:hAnsi="Arial" w:cs="Arial"/>
                <w:b/>
                <w:bCs/>
                <w:color w:val="002060"/>
                <w:sz w:val="20"/>
                <w:szCs w:val="20"/>
              </w:rPr>
              <w:t>130</w:t>
            </w:r>
          </w:p>
        </w:tc>
      </w:tr>
    </w:tbl>
    <w:p w:rsidR="00D75653" w:rsidRPr="00836306" w:rsidRDefault="00D75653" w:rsidP="002D48FA">
      <w:pPr>
        <w:jc w:val="both"/>
        <w:rPr>
          <w:rFonts w:ascii="Arial" w:hAnsi="Arial" w:cs="Arial"/>
          <w:color w:val="002060"/>
          <w:sz w:val="20"/>
          <w:szCs w:val="20"/>
        </w:rPr>
      </w:pPr>
    </w:p>
    <w:p w:rsidR="000B020B" w:rsidRPr="00A12F82" w:rsidRDefault="00D75653" w:rsidP="002D48FA">
      <w:pPr>
        <w:jc w:val="both"/>
        <w:rPr>
          <w:rFonts w:ascii="Arial" w:hAnsi="Arial" w:cs="Arial"/>
          <w:color w:val="000361"/>
          <w:sz w:val="14"/>
          <w:szCs w:val="14"/>
        </w:rPr>
      </w:pPr>
      <w:r w:rsidRPr="00A12F82">
        <w:rPr>
          <w:rFonts w:ascii="Arial" w:hAnsi="Arial" w:cs="Arial"/>
          <w:color w:val="000361"/>
          <w:sz w:val="14"/>
          <w:szCs w:val="14"/>
        </w:rPr>
        <w:t>Font: Elaboració pròpia amb dades obtingudes del SABI.</w:t>
      </w:r>
    </w:p>
    <w:p w:rsidR="006A3DE0" w:rsidRDefault="006A3DE0" w:rsidP="002D48FA">
      <w:pPr>
        <w:jc w:val="both"/>
        <w:rPr>
          <w:rFonts w:ascii="Arial" w:hAnsi="Arial" w:cs="Arial"/>
          <w:color w:val="000361"/>
          <w:sz w:val="20"/>
          <w:szCs w:val="20"/>
        </w:rPr>
      </w:pPr>
    </w:p>
    <w:p w:rsidR="00836306" w:rsidRDefault="00836306" w:rsidP="002D48FA">
      <w:pPr>
        <w:jc w:val="both"/>
        <w:rPr>
          <w:rFonts w:ascii="Arial" w:hAnsi="Arial" w:cs="Arial"/>
          <w:color w:val="000361"/>
          <w:sz w:val="20"/>
          <w:szCs w:val="20"/>
        </w:rPr>
      </w:pPr>
      <w:r>
        <w:rPr>
          <w:rFonts w:ascii="Arial" w:hAnsi="Arial" w:cs="Arial"/>
          <w:color w:val="000361"/>
          <w:sz w:val="20"/>
          <w:szCs w:val="20"/>
        </w:rPr>
        <w:t>Obviant el període d’aprovisionament i fabricació</w:t>
      </w:r>
      <w:r w:rsidR="00B23EB2">
        <w:rPr>
          <w:rFonts w:ascii="Arial" w:hAnsi="Arial" w:cs="Arial"/>
          <w:color w:val="000361"/>
          <w:sz w:val="20"/>
          <w:szCs w:val="20"/>
        </w:rPr>
        <w:t>,</w:t>
      </w:r>
      <w:r>
        <w:rPr>
          <w:rFonts w:ascii="Arial" w:hAnsi="Arial" w:cs="Arial"/>
          <w:color w:val="000361"/>
          <w:sz w:val="20"/>
          <w:szCs w:val="20"/>
        </w:rPr>
        <w:t xml:space="preserve"> l’empresa té unes necessitats operatives de fons </w:t>
      </w:r>
      <w:r w:rsidR="00B23EB2">
        <w:rPr>
          <w:rFonts w:ascii="Arial" w:hAnsi="Arial" w:cs="Arial"/>
          <w:color w:val="000361"/>
          <w:sz w:val="20"/>
          <w:szCs w:val="20"/>
        </w:rPr>
        <w:t xml:space="preserve">pel </w:t>
      </w:r>
      <w:r>
        <w:rPr>
          <w:rFonts w:ascii="Arial" w:hAnsi="Arial" w:cs="Arial"/>
          <w:color w:val="000361"/>
          <w:sz w:val="20"/>
          <w:szCs w:val="20"/>
        </w:rPr>
        <w:t xml:space="preserve"> temps que transcorre entre el pagament de les matèries primeres fins que cobra les vendes. Aquest temps</w:t>
      </w:r>
      <w:r w:rsidR="00B23EB2">
        <w:rPr>
          <w:rFonts w:ascii="Arial" w:hAnsi="Arial" w:cs="Arial"/>
          <w:color w:val="000361"/>
          <w:sz w:val="20"/>
          <w:szCs w:val="20"/>
        </w:rPr>
        <w:t xml:space="preserve"> -</w:t>
      </w:r>
      <w:r>
        <w:rPr>
          <w:rFonts w:ascii="Arial" w:hAnsi="Arial" w:cs="Arial"/>
          <w:color w:val="000361"/>
          <w:sz w:val="20"/>
          <w:szCs w:val="20"/>
        </w:rPr>
        <w:t>establert en dies</w:t>
      </w:r>
      <w:r w:rsidR="00B23EB2">
        <w:rPr>
          <w:rFonts w:ascii="Arial" w:hAnsi="Arial" w:cs="Arial"/>
          <w:color w:val="000361"/>
          <w:sz w:val="20"/>
          <w:szCs w:val="20"/>
        </w:rPr>
        <w:t>-</w:t>
      </w:r>
      <w:r>
        <w:rPr>
          <w:rFonts w:ascii="Arial" w:hAnsi="Arial" w:cs="Arial"/>
          <w:color w:val="000361"/>
          <w:sz w:val="20"/>
          <w:szCs w:val="20"/>
        </w:rPr>
        <w:t xml:space="preserve"> es manté al voltant dels 120 durant els 4 primers exercicis analitzats i el 2019 passa a 130 dies augmentant les necessitats de capital corrent de l’empresa. </w:t>
      </w:r>
    </w:p>
    <w:p w:rsidR="001100A3" w:rsidRDefault="001100A3" w:rsidP="002D48FA">
      <w:pPr>
        <w:jc w:val="both"/>
        <w:rPr>
          <w:rFonts w:ascii="Arial" w:hAnsi="Arial" w:cs="Arial"/>
          <w:color w:val="000361"/>
          <w:sz w:val="20"/>
          <w:szCs w:val="20"/>
        </w:rPr>
      </w:pPr>
    </w:p>
    <w:p w:rsidR="001100A3" w:rsidRDefault="001100A3" w:rsidP="002D48FA">
      <w:pPr>
        <w:jc w:val="both"/>
        <w:rPr>
          <w:rFonts w:ascii="Arial" w:hAnsi="Arial" w:cs="Arial"/>
          <w:color w:val="000361"/>
          <w:sz w:val="20"/>
          <w:szCs w:val="20"/>
        </w:rPr>
      </w:pPr>
      <w:r>
        <w:rPr>
          <w:rFonts w:ascii="Arial" w:hAnsi="Arial" w:cs="Arial"/>
          <w:color w:val="000361"/>
          <w:sz w:val="20"/>
          <w:szCs w:val="20"/>
        </w:rPr>
        <w:t xml:space="preserve">Els cobraments, en clau positiva, tendeixen a </w:t>
      </w:r>
      <w:r w:rsidR="00DF620D">
        <w:rPr>
          <w:rFonts w:ascii="Arial" w:hAnsi="Arial" w:cs="Arial"/>
          <w:color w:val="000361"/>
          <w:sz w:val="20"/>
          <w:szCs w:val="20"/>
        </w:rPr>
        <w:t>disminuir</w:t>
      </w:r>
      <w:r>
        <w:rPr>
          <w:rFonts w:ascii="Arial" w:hAnsi="Arial" w:cs="Arial"/>
          <w:color w:val="000361"/>
          <w:sz w:val="20"/>
          <w:szCs w:val="20"/>
        </w:rPr>
        <w:t xml:space="preserve"> tot i el lleuger repunt que s’observa el 2019</w:t>
      </w:r>
      <w:r w:rsidR="00B23EB2">
        <w:rPr>
          <w:rFonts w:ascii="Arial" w:hAnsi="Arial" w:cs="Arial"/>
          <w:color w:val="000361"/>
          <w:sz w:val="20"/>
          <w:szCs w:val="20"/>
        </w:rPr>
        <w:t>, i</w:t>
      </w:r>
      <w:r>
        <w:rPr>
          <w:rFonts w:ascii="Arial" w:hAnsi="Arial" w:cs="Arial"/>
          <w:color w:val="000361"/>
          <w:sz w:val="20"/>
          <w:szCs w:val="20"/>
        </w:rPr>
        <w:t xml:space="preserve"> </w:t>
      </w:r>
      <w:r w:rsidR="00B23EB2">
        <w:rPr>
          <w:rFonts w:ascii="Arial" w:hAnsi="Arial" w:cs="Arial"/>
          <w:color w:val="000361"/>
          <w:sz w:val="20"/>
          <w:szCs w:val="20"/>
        </w:rPr>
        <w:t>en sentit negatiu</w:t>
      </w:r>
      <w:r>
        <w:rPr>
          <w:rFonts w:ascii="Arial" w:hAnsi="Arial" w:cs="Arial"/>
          <w:color w:val="000361"/>
          <w:sz w:val="20"/>
          <w:szCs w:val="20"/>
        </w:rPr>
        <w:t xml:space="preserve"> l’empresa </w:t>
      </w:r>
      <w:r w:rsidR="00B23EB2">
        <w:rPr>
          <w:rFonts w:ascii="Arial" w:hAnsi="Arial" w:cs="Arial"/>
          <w:color w:val="000361"/>
          <w:sz w:val="20"/>
          <w:szCs w:val="20"/>
        </w:rPr>
        <w:t>ha de suportar una major brevetat en el temps de</w:t>
      </w:r>
      <w:r>
        <w:rPr>
          <w:rFonts w:ascii="Arial" w:hAnsi="Arial" w:cs="Arial"/>
          <w:color w:val="000361"/>
          <w:sz w:val="20"/>
          <w:szCs w:val="20"/>
        </w:rPr>
        <w:t xml:space="preserve"> pagament, </w:t>
      </w:r>
      <w:r w:rsidR="00B23EB2">
        <w:rPr>
          <w:rFonts w:ascii="Arial" w:hAnsi="Arial" w:cs="Arial"/>
          <w:color w:val="000361"/>
          <w:sz w:val="20"/>
          <w:szCs w:val="20"/>
        </w:rPr>
        <w:t>e</w:t>
      </w:r>
      <w:r>
        <w:rPr>
          <w:rFonts w:ascii="Arial" w:hAnsi="Arial" w:cs="Arial"/>
          <w:color w:val="000361"/>
          <w:sz w:val="20"/>
          <w:szCs w:val="20"/>
        </w:rPr>
        <w:t>l 2019 en són 24</w:t>
      </w:r>
      <w:r w:rsidR="00B23EB2">
        <w:rPr>
          <w:rFonts w:ascii="Arial" w:hAnsi="Arial" w:cs="Arial"/>
          <w:color w:val="000361"/>
          <w:sz w:val="20"/>
          <w:szCs w:val="20"/>
        </w:rPr>
        <w:t xml:space="preserve"> dies</w:t>
      </w:r>
      <w:r>
        <w:rPr>
          <w:rFonts w:ascii="Arial" w:hAnsi="Arial" w:cs="Arial"/>
          <w:color w:val="000361"/>
          <w:sz w:val="20"/>
          <w:szCs w:val="20"/>
        </w:rPr>
        <w:t xml:space="preserve">. </w:t>
      </w:r>
      <w:r w:rsidR="000307CD">
        <w:rPr>
          <w:rFonts w:ascii="Arial" w:hAnsi="Arial" w:cs="Arial"/>
          <w:color w:val="000361"/>
          <w:sz w:val="20"/>
          <w:szCs w:val="20"/>
        </w:rPr>
        <w:t>El 2019 també ha empitjorat</w:t>
      </w:r>
      <w:r w:rsidR="006F7F16">
        <w:rPr>
          <w:rFonts w:ascii="Arial" w:hAnsi="Arial" w:cs="Arial"/>
          <w:color w:val="000361"/>
          <w:sz w:val="20"/>
          <w:szCs w:val="20"/>
        </w:rPr>
        <w:t xml:space="preserve"> la rotació de les existències, o bé perquè hi ha un excés </w:t>
      </w:r>
      <w:r w:rsidR="00DF620D">
        <w:rPr>
          <w:rFonts w:ascii="Arial" w:hAnsi="Arial" w:cs="Arial"/>
          <w:color w:val="000361"/>
          <w:sz w:val="20"/>
          <w:szCs w:val="20"/>
        </w:rPr>
        <w:t>d’estoc</w:t>
      </w:r>
      <w:r w:rsidR="006F7F16">
        <w:rPr>
          <w:rFonts w:ascii="Arial" w:hAnsi="Arial" w:cs="Arial"/>
          <w:color w:val="000361"/>
          <w:sz w:val="20"/>
          <w:szCs w:val="20"/>
        </w:rPr>
        <w:t xml:space="preserve"> o perquè s’ha </w:t>
      </w:r>
      <w:r w:rsidR="00DF620D">
        <w:rPr>
          <w:rFonts w:ascii="Arial" w:hAnsi="Arial" w:cs="Arial"/>
          <w:color w:val="000361"/>
          <w:sz w:val="20"/>
          <w:szCs w:val="20"/>
        </w:rPr>
        <w:t>alentit</w:t>
      </w:r>
      <w:r w:rsidR="006F7F16">
        <w:rPr>
          <w:rFonts w:ascii="Arial" w:hAnsi="Arial" w:cs="Arial"/>
          <w:color w:val="000361"/>
          <w:sz w:val="20"/>
          <w:szCs w:val="20"/>
        </w:rPr>
        <w:t xml:space="preserve"> les vendes.</w:t>
      </w:r>
    </w:p>
    <w:p w:rsidR="006F7F16" w:rsidRDefault="006F7F16" w:rsidP="002D48FA">
      <w:pPr>
        <w:jc w:val="both"/>
        <w:rPr>
          <w:rFonts w:ascii="Arial" w:hAnsi="Arial" w:cs="Arial"/>
          <w:color w:val="000361"/>
          <w:sz w:val="20"/>
          <w:szCs w:val="20"/>
        </w:rPr>
      </w:pPr>
    </w:p>
    <w:p w:rsidR="006F7F16" w:rsidRDefault="006F7F16" w:rsidP="002D48FA">
      <w:pPr>
        <w:jc w:val="both"/>
        <w:rPr>
          <w:rFonts w:ascii="Arial" w:hAnsi="Arial" w:cs="Arial"/>
          <w:color w:val="000361"/>
          <w:sz w:val="20"/>
          <w:szCs w:val="20"/>
        </w:rPr>
      </w:pPr>
      <w:r>
        <w:rPr>
          <w:rFonts w:ascii="Arial" w:hAnsi="Arial" w:cs="Arial"/>
          <w:color w:val="000361"/>
          <w:sz w:val="20"/>
          <w:szCs w:val="20"/>
        </w:rPr>
        <w:t xml:space="preserve">Amb aquest anàlisi de la rotació es mostren tendències i punts de millora, però són principalment les característiques del sector les que </w:t>
      </w:r>
      <w:r w:rsidR="00A84C5E">
        <w:rPr>
          <w:rFonts w:ascii="Arial" w:hAnsi="Arial" w:cs="Arial"/>
          <w:color w:val="000361"/>
          <w:sz w:val="20"/>
          <w:szCs w:val="20"/>
        </w:rPr>
        <w:t>determinaran</w:t>
      </w:r>
      <w:r>
        <w:rPr>
          <w:rFonts w:ascii="Arial" w:hAnsi="Arial" w:cs="Arial"/>
          <w:color w:val="000361"/>
          <w:sz w:val="20"/>
          <w:szCs w:val="20"/>
        </w:rPr>
        <w:t xml:space="preserve"> quins són els valors òptims.</w:t>
      </w:r>
    </w:p>
    <w:p w:rsidR="006A3DE0" w:rsidRDefault="006A3DE0" w:rsidP="002D48FA">
      <w:pPr>
        <w:jc w:val="both"/>
        <w:rPr>
          <w:rFonts w:ascii="Arial" w:hAnsi="Arial" w:cs="Arial"/>
          <w:color w:val="000361"/>
          <w:sz w:val="20"/>
          <w:szCs w:val="20"/>
        </w:rPr>
      </w:pPr>
    </w:p>
    <w:p w:rsidR="00BC396D" w:rsidRPr="0040185D" w:rsidRDefault="00BC396D" w:rsidP="002D48FA">
      <w:pPr>
        <w:jc w:val="both"/>
        <w:rPr>
          <w:rFonts w:ascii="Arial" w:hAnsi="Arial" w:cs="Arial"/>
          <w:color w:val="000361"/>
          <w:sz w:val="20"/>
          <w:szCs w:val="20"/>
        </w:rPr>
      </w:pPr>
    </w:p>
    <w:p w:rsidR="009276A2" w:rsidRDefault="009276A2" w:rsidP="002D48FA">
      <w:pPr>
        <w:jc w:val="both"/>
        <w:rPr>
          <w:rFonts w:ascii="Arial" w:hAnsi="Arial" w:cs="Arial"/>
          <w:i/>
          <w:color w:val="000361"/>
          <w:sz w:val="20"/>
          <w:szCs w:val="20"/>
        </w:rPr>
      </w:pPr>
      <w:r>
        <w:rPr>
          <w:rFonts w:ascii="Arial" w:hAnsi="Arial" w:cs="Arial"/>
          <w:i/>
          <w:color w:val="000361"/>
          <w:sz w:val="20"/>
          <w:szCs w:val="20"/>
        </w:rPr>
        <w:br w:type="page"/>
      </w:r>
    </w:p>
    <w:p w:rsidR="002D48FA" w:rsidRPr="0017266E" w:rsidRDefault="00106DD6" w:rsidP="002D48FA">
      <w:pPr>
        <w:jc w:val="both"/>
        <w:rPr>
          <w:rFonts w:ascii="Arial" w:hAnsi="Arial" w:cs="Arial"/>
          <w:i/>
          <w:color w:val="000361"/>
          <w:sz w:val="20"/>
          <w:szCs w:val="20"/>
        </w:rPr>
      </w:pPr>
      <w:r w:rsidRPr="0017266E">
        <w:rPr>
          <w:rFonts w:ascii="Arial" w:hAnsi="Arial" w:cs="Arial"/>
          <w:i/>
          <w:color w:val="000361"/>
          <w:sz w:val="20"/>
          <w:szCs w:val="20"/>
        </w:rPr>
        <w:lastRenderedPageBreak/>
        <w:t xml:space="preserve">2.3.3. </w:t>
      </w:r>
      <w:r w:rsidR="006E5C3E" w:rsidRPr="0017266E">
        <w:rPr>
          <w:rFonts w:ascii="Arial" w:hAnsi="Arial" w:cs="Arial"/>
          <w:i/>
          <w:color w:val="000361"/>
          <w:sz w:val="20"/>
          <w:szCs w:val="20"/>
        </w:rPr>
        <w:t>Palanquejament</w:t>
      </w:r>
      <w:r w:rsidRPr="0017266E">
        <w:rPr>
          <w:rFonts w:ascii="Arial" w:hAnsi="Arial" w:cs="Arial"/>
          <w:i/>
          <w:color w:val="000361"/>
          <w:sz w:val="20"/>
          <w:szCs w:val="20"/>
        </w:rPr>
        <w:t xml:space="preserve"> operatiu</w:t>
      </w:r>
    </w:p>
    <w:p w:rsidR="004105C5" w:rsidRDefault="004105C5" w:rsidP="002D48FA">
      <w:pPr>
        <w:jc w:val="both"/>
        <w:rPr>
          <w:rFonts w:ascii="Arial" w:hAnsi="Arial" w:cs="Arial"/>
          <w:color w:val="000361"/>
          <w:sz w:val="20"/>
          <w:szCs w:val="20"/>
        </w:rPr>
      </w:pPr>
    </w:p>
    <w:p w:rsidR="004105C5" w:rsidRDefault="007D176F" w:rsidP="002D48FA">
      <w:pPr>
        <w:jc w:val="both"/>
        <w:rPr>
          <w:rFonts w:ascii="Arial" w:hAnsi="Arial" w:cs="Arial"/>
          <w:color w:val="000361"/>
          <w:sz w:val="20"/>
          <w:szCs w:val="20"/>
        </w:rPr>
      </w:pPr>
      <w:r>
        <w:rPr>
          <w:rFonts w:ascii="Arial" w:hAnsi="Arial" w:cs="Arial"/>
          <w:color w:val="000361"/>
          <w:sz w:val="20"/>
          <w:szCs w:val="20"/>
        </w:rPr>
        <w:t xml:space="preserve">Amb l’anàlisi de la </w:t>
      </w:r>
      <w:r w:rsidR="00396522">
        <w:rPr>
          <w:rFonts w:ascii="Arial" w:hAnsi="Arial" w:cs="Arial"/>
          <w:color w:val="000361"/>
          <w:sz w:val="20"/>
          <w:szCs w:val="20"/>
        </w:rPr>
        <w:t>ràtio de palanquejament operatiu podem conèixer en quina mesura un augment de les vendes repercuteix al resultat. La sistemàtica més correcte per determinar el palanquejament operatiu consisteix en la cerca del punt d’equilibri entre les vendes i els costos considerant els que són variables i fixos</w:t>
      </w:r>
      <w:r w:rsidR="003F64F7">
        <w:rPr>
          <w:rFonts w:ascii="Arial" w:hAnsi="Arial" w:cs="Arial"/>
          <w:color w:val="000361"/>
          <w:sz w:val="20"/>
          <w:szCs w:val="20"/>
        </w:rPr>
        <w:t>,</w:t>
      </w:r>
      <w:r w:rsidR="00396522">
        <w:rPr>
          <w:rFonts w:ascii="Arial" w:hAnsi="Arial" w:cs="Arial"/>
          <w:color w:val="000361"/>
          <w:sz w:val="20"/>
          <w:szCs w:val="20"/>
        </w:rPr>
        <w:t xml:space="preserve"> però com que no es disposa de tota la informació per dur-lo a terme amb aquesta precisió </w:t>
      </w:r>
      <w:r w:rsidR="00A84C5E">
        <w:rPr>
          <w:rFonts w:ascii="Arial" w:hAnsi="Arial" w:cs="Arial"/>
          <w:color w:val="000361"/>
          <w:sz w:val="20"/>
          <w:szCs w:val="20"/>
        </w:rPr>
        <w:t>s’aplicarà</w:t>
      </w:r>
      <w:r w:rsidR="00396522">
        <w:rPr>
          <w:rFonts w:ascii="Arial" w:hAnsi="Arial" w:cs="Arial"/>
          <w:color w:val="000361"/>
          <w:sz w:val="20"/>
          <w:szCs w:val="20"/>
        </w:rPr>
        <w:t xml:space="preserve"> </w:t>
      </w:r>
      <w:r w:rsidR="00A84C5E">
        <w:rPr>
          <w:rFonts w:ascii="Arial" w:hAnsi="Arial" w:cs="Arial"/>
          <w:color w:val="000361"/>
          <w:sz w:val="20"/>
          <w:szCs w:val="20"/>
        </w:rPr>
        <w:t>un</w:t>
      </w:r>
      <w:r w:rsidR="00396522">
        <w:rPr>
          <w:rFonts w:ascii="Arial" w:hAnsi="Arial" w:cs="Arial"/>
          <w:color w:val="000361"/>
          <w:sz w:val="20"/>
          <w:szCs w:val="20"/>
        </w:rPr>
        <w:t xml:space="preserve"> càlcul de la ràtio que</w:t>
      </w:r>
      <w:r w:rsidR="003F64F7">
        <w:rPr>
          <w:rFonts w:ascii="Arial" w:hAnsi="Arial" w:cs="Arial"/>
          <w:color w:val="000361"/>
          <w:sz w:val="20"/>
          <w:szCs w:val="20"/>
        </w:rPr>
        <w:t xml:space="preserve"> ens hi aproximarà i</w:t>
      </w:r>
      <w:r w:rsidR="00396522">
        <w:rPr>
          <w:rFonts w:ascii="Arial" w:hAnsi="Arial" w:cs="Arial"/>
          <w:color w:val="000361"/>
          <w:sz w:val="20"/>
          <w:szCs w:val="20"/>
        </w:rPr>
        <w:t xml:space="preserve"> </w:t>
      </w:r>
      <w:r w:rsidR="00A84C5E">
        <w:rPr>
          <w:rFonts w:ascii="Arial" w:hAnsi="Arial" w:cs="Arial"/>
          <w:color w:val="000361"/>
          <w:sz w:val="20"/>
          <w:szCs w:val="20"/>
        </w:rPr>
        <w:t xml:space="preserve">que </w:t>
      </w:r>
      <w:r w:rsidR="00396522">
        <w:rPr>
          <w:rFonts w:ascii="Arial" w:hAnsi="Arial" w:cs="Arial"/>
          <w:color w:val="000361"/>
          <w:sz w:val="20"/>
          <w:szCs w:val="20"/>
        </w:rPr>
        <w:t xml:space="preserve">només requereix de la variació del volum de vendes i </w:t>
      </w:r>
      <w:r w:rsidR="003F64F7">
        <w:rPr>
          <w:rFonts w:ascii="Arial" w:hAnsi="Arial" w:cs="Arial"/>
          <w:color w:val="000361"/>
          <w:sz w:val="20"/>
          <w:szCs w:val="20"/>
        </w:rPr>
        <w:t>del</w:t>
      </w:r>
      <w:r w:rsidR="00396522">
        <w:rPr>
          <w:rFonts w:ascii="Arial" w:hAnsi="Arial" w:cs="Arial"/>
          <w:color w:val="000361"/>
          <w:sz w:val="20"/>
          <w:szCs w:val="20"/>
        </w:rPr>
        <w:t xml:space="preserve"> resultat d’explotació anual. La </w:t>
      </w:r>
      <w:r w:rsidR="00DF620D">
        <w:rPr>
          <w:rFonts w:ascii="Arial" w:hAnsi="Arial" w:cs="Arial"/>
          <w:color w:val="000361"/>
          <w:sz w:val="20"/>
          <w:szCs w:val="20"/>
        </w:rPr>
        <w:t>fórmula</w:t>
      </w:r>
      <w:r w:rsidR="00396522">
        <w:rPr>
          <w:rFonts w:ascii="Arial" w:hAnsi="Arial" w:cs="Arial"/>
          <w:color w:val="000361"/>
          <w:sz w:val="20"/>
          <w:szCs w:val="20"/>
        </w:rPr>
        <w:t xml:space="preserve"> de la ràtio aplicada es pot consultar a</w:t>
      </w:r>
      <w:r w:rsidR="00A84C5E">
        <w:rPr>
          <w:rFonts w:ascii="Arial" w:hAnsi="Arial" w:cs="Arial"/>
          <w:color w:val="000361"/>
          <w:sz w:val="20"/>
          <w:szCs w:val="20"/>
        </w:rPr>
        <w:t xml:space="preserve"> </w:t>
      </w:r>
      <w:r w:rsidR="00A84C5E" w:rsidRPr="00A12F82">
        <w:rPr>
          <w:rFonts w:ascii="Arial" w:hAnsi="Arial" w:cs="Arial"/>
          <w:i/>
          <w:color w:val="000361"/>
          <w:sz w:val="20"/>
          <w:szCs w:val="20"/>
        </w:rPr>
        <w:t xml:space="preserve">l’annex </w:t>
      </w:r>
      <w:r w:rsidR="00A12F82" w:rsidRPr="00A12F82">
        <w:rPr>
          <w:rFonts w:ascii="Arial" w:hAnsi="Arial" w:cs="Arial"/>
          <w:i/>
          <w:color w:val="000361"/>
          <w:sz w:val="20"/>
          <w:szCs w:val="20"/>
        </w:rPr>
        <w:t>1.</w:t>
      </w:r>
      <w:r w:rsidR="00A84C5E" w:rsidRPr="00A12F82">
        <w:rPr>
          <w:rFonts w:ascii="Arial" w:hAnsi="Arial" w:cs="Arial"/>
          <w:i/>
          <w:color w:val="000361"/>
          <w:sz w:val="20"/>
          <w:szCs w:val="20"/>
        </w:rPr>
        <w:t>2</w:t>
      </w:r>
      <w:r w:rsidR="00396522">
        <w:rPr>
          <w:rFonts w:ascii="Arial" w:hAnsi="Arial" w:cs="Arial"/>
          <w:color w:val="000361"/>
          <w:sz w:val="20"/>
          <w:szCs w:val="20"/>
        </w:rPr>
        <w:t>.</w:t>
      </w:r>
    </w:p>
    <w:p w:rsidR="00396522" w:rsidRDefault="00396522" w:rsidP="002D48FA">
      <w:pPr>
        <w:jc w:val="both"/>
        <w:rPr>
          <w:rFonts w:ascii="Arial" w:hAnsi="Arial" w:cs="Arial"/>
          <w:color w:val="000361"/>
          <w:sz w:val="20"/>
          <w:szCs w:val="20"/>
        </w:rPr>
      </w:pPr>
    </w:p>
    <w:tbl>
      <w:tblPr>
        <w:tblW w:w="8740" w:type="dxa"/>
        <w:tblCellMar>
          <w:left w:w="70" w:type="dxa"/>
          <w:right w:w="70" w:type="dxa"/>
        </w:tblCellMar>
        <w:tblLook w:val="04A0" w:firstRow="1" w:lastRow="0" w:firstColumn="1" w:lastColumn="0" w:noHBand="0" w:noVBand="1"/>
      </w:tblPr>
      <w:tblGrid>
        <w:gridCol w:w="3137"/>
        <w:gridCol w:w="1114"/>
        <w:gridCol w:w="1147"/>
        <w:gridCol w:w="1114"/>
        <w:gridCol w:w="1114"/>
        <w:gridCol w:w="1114"/>
      </w:tblGrid>
      <w:tr w:rsidR="00885C71" w:rsidRPr="003F64F7" w:rsidTr="0036789D">
        <w:trPr>
          <w:trHeight w:val="260"/>
        </w:trPr>
        <w:tc>
          <w:tcPr>
            <w:tcW w:w="8740" w:type="dxa"/>
            <w:gridSpan w:val="6"/>
            <w:shd w:val="clear" w:color="auto" w:fill="auto"/>
            <w:noWrap/>
            <w:vAlign w:val="bottom"/>
            <w:hideMark/>
          </w:tcPr>
          <w:p w:rsidR="00885C71" w:rsidRPr="00885C71" w:rsidRDefault="00885C71">
            <w:pPr>
              <w:rPr>
                <w:rFonts w:ascii="Arial" w:hAnsi="Arial" w:cs="Arial"/>
                <w:bCs/>
                <w:color w:val="002060"/>
                <w:sz w:val="20"/>
                <w:szCs w:val="20"/>
              </w:rPr>
            </w:pPr>
            <w:r w:rsidRPr="00885C71">
              <w:rPr>
                <w:rFonts w:ascii="Arial" w:hAnsi="Arial" w:cs="Arial"/>
                <w:bCs/>
                <w:color w:val="002060"/>
                <w:sz w:val="20"/>
                <w:szCs w:val="20"/>
              </w:rPr>
              <w:t>Taula 2.</w:t>
            </w:r>
            <w:r w:rsidR="0036789D">
              <w:rPr>
                <w:rFonts w:ascii="Arial" w:hAnsi="Arial" w:cs="Arial"/>
                <w:bCs/>
                <w:color w:val="002060"/>
                <w:sz w:val="20"/>
                <w:szCs w:val="20"/>
              </w:rPr>
              <w:t>7</w:t>
            </w:r>
            <w:r w:rsidRPr="00885C71">
              <w:rPr>
                <w:rFonts w:ascii="Arial" w:hAnsi="Arial" w:cs="Arial"/>
                <w:bCs/>
                <w:color w:val="002060"/>
                <w:sz w:val="20"/>
                <w:szCs w:val="20"/>
              </w:rPr>
              <w:t xml:space="preserve"> - Palanquejament Operatiu de Laboratoris Hipra pels exercicis 2015-2019(milers €)</w:t>
            </w:r>
          </w:p>
        </w:tc>
      </w:tr>
      <w:tr w:rsidR="003F64F7" w:rsidRPr="003F64F7" w:rsidTr="0036789D">
        <w:trPr>
          <w:trHeight w:val="260"/>
        </w:trPr>
        <w:tc>
          <w:tcPr>
            <w:tcW w:w="3137" w:type="dxa"/>
            <w:shd w:val="clear" w:color="auto" w:fill="auto"/>
            <w:noWrap/>
            <w:vAlign w:val="bottom"/>
            <w:hideMark/>
          </w:tcPr>
          <w:p w:rsidR="003F64F7" w:rsidRPr="003F64F7" w:rsidRDefault="003F64F7">
            <w:pPr>
              <w:rPr>
                <w:rFonts w:ascii="Arial" w:hAnsi="Arial" w:cs="Arial"/>
                <w:b/>
                <w:bCs/>
                <w:color w:val="002060"/>
                <w:sz w:val="20"/>
                <w:szCs w:val="20"/>
              </w:rPr>
            </w:pPr>
          </w:p>
        </w:tc>
        <w:tc>
          <w:tcPr>
            <w:tcW w:w="1114" w:type="dxa"/>
            <w:shd w:val="clear" w:color="auto" w:fill="auto"/>
            <w:noWrap/>
            <w:vAlign w:val="bottom"/>
            <w:hideMark/>
          </w:tcPr>
          <w:p w:rsidR="003F64F7" w:rsidRPr="003F64F7" w:rsidRDefault="003F64F7">
            <w:pPr>
              <w:rPr>
                <w:sz w:val="20"/>
                <w:szCs w:val="20"/>
              </w:rPr>
            </w:pPr>
          </w:p>
        </w:tc>
        <w:tc>
          <w:tcPr>
            <w:tcW w:w="1147" w:type="dxa"/>
            <w:shd w:val="clear" w:color="auto" w:fill="auto"/>
            <w:noWrap/>
            <w:vAlign w:val="bottom"/>
            <w:hideMark/>
          </w:tcPr>
          <w:p w:rsidR="003F64F7" w:rsidRPr="003F64F7" w:rsidRDefault="003F64F7">
            <w:pPr>
              <w:rPr>
                <w:sz w:val="20"/>
                <w:szCs w:val="20"/>
              </w:rPr>
            </w:pPr>
          </w:p>
        </w:tc>
        <w:tc>
          <w:tcPr>
            <w:tcW w:w="1114" w:type="dxa"/>
            <w:shd w:val="clear" w:color="auto" w:fill="auto"/>
            <w:noWrap/>
            <w:vAlign w:val="bottom"/>
            <w:hideMark/>
          </w:tcPr>
          <w:p w:rsidR="003F64F7" w:rsidRPr="003F64F7" w:rsidRDefault="003F64F7">
            <w:pPr>
              <w:rPr>
                <w:sz w:val="20"/>
                <w:szCs w:val="20"/>
              </w:rPr>
            </w:pPr>
          </w:p>
        </w:tc>
        <w:tc>
          <w:tcPr>
            <w:tcW w:w="1114" w:type="dxa"/>
            <w:shd w:val="clear" w:color="auto" w:fill="auto"/>
            <w:noWrap/>
            <w:vAlign w:val="bottom"/>
            <w:hideMark/>
          </w:tcPr>
          <w:p w:rsidR="003F64F7" w:rsidRPr="003F64F7" w:rsidRDefault="003F64F7">
            <w:pPr>
              <w:rPr>
                <w:sz w:val="20"/>
                <w:szCs w:val="20"/>
              </w:rPr>
            </w:pPr>
          </w:p>
        </w:tc>
        <w:tc>
          <w:tcPr>
            <w:tcW w:w="1114" w:type="dxa"/>
            <w:shd w:val="clear" w:color="auto" w:fill="auto"/>
            <w:noWrap/>
            <w:vAlign w:val="bottom"/>
            <w:hideMark/>
          </w:tcPr>
          <w:p w:rsidR="003F64F7" w:rsidRPr="003F64F7" w:rsidRDefault="003F64F7">
            <w:pPr>
              <w:rPr>
                <w:sz w:val="20"/>
                <w:szCs w:val="20"/>
              </w:rPr>
            </w:pPr>
          </w:p>
        </w:tc>
      </w:tr>
      <w:tr w:rsidR="003F64F7" w:rsidRPr="003F64F7" w:rsidTr="0036789D">
        <w:trPr>
          <w:trHeight w:val="260"/>
        </w:trPr>
        <w:tc>
          <w:tcPr>
            <w:tcW w:w="3137" w:type="dxa"/>
            <w:shd w:val="clear" w:color="auto" w:fill="auto"/>
            <w:noWrap/>
            <w:vAlign w:val="bottom"/>
            <w:hideMark/>
          </w:tcPr>
          <w:p w:rsidR="003F64F7" w:rsidRPr="003F64F7" w:rsidRDefault="003F64F7">
            <w:pPr>
              <w:rPr>
                <w:rFonts w:ascii="Arial" w:hAnsi="Arial" w:cs="Arial"/>
                <w:b/>
                <w:bCs/>
                <w:color w:val="002060"/>
                <w:sz w:val="20"/>
                <w:szCs w:val="20"/>
              </w:rPr>
            </w:pPr>
            <w:r w:rsidRPr="003F64F7">
              <w:rPr>
                <w:rFonts w:ascii="Arial" w:hAnsi="Arial" w:cs="Arial"/>
                <w:b/>
                <w:bCs/>
                <w:color w:val="002060"/>
                <w:sz w:val="20"/>
                <w:szCs w:val="20"/>
              </w:rPr>
              <w:t> </w:t>
            </w:r>
          </w:p>
        </w:tc>
        <w:tc>
          <w:tcPr>
            <w:tcW w:w="1114" w:type="dxa"/>
            <w:shd w:val="clear" w:color="auto" w:fill="auto"/>
            <w:noWrap/>
            <w:vAlign w:val="bottom"/>
            <w:hideMark/>
          </w:tcPr>
          <w:p w:rsidR="003F64F7" w:rsidRPr="003F64F7" w:rsidRDefault="003F64F7">
            <w:pPr>
              <w:jc w:val="center"/>
              <w:rPr>
                <w:rFonts w:ascii="Arial" w:hAnsi="Arial" w:cs="Arial"/>
                <w:b/>
                <w:bCs/>
                <w:color w:val="002060"/>
                <w:sz w:val="20"/>
                <w:szCs w:val="20"/>
              </w:rPr>
            </w:pPr>
            <w:r w:rsidRPr="003F64F7">
              <w:rPr>
                <w:rFonts w:ascii="Arial" w:hAnsi="Arial" w:cs="Arial"/>
                <w:b/>
                <w:bCs/>
                <w:color w:val="002060"/>
                <w:sz w:val="20"/>
                <w:szCs w:val="20"/>
              </w:rPr>
              <w:t>2015</w:t>
            </w:r>
          </w:p>
        </w:tc>
        <w:tc>
          <w:tcPr>
            <w:tcW w:w="1147" w:type="dxa"/>
            <w:shd w:val="clear" w:color="auto" w:fill="auto"/>
            <w:noWrap/>
            <w:vAlign w:val="bottom"/>
            <w:hideMark/>
          </w:tcPr>
          <w:p w:rsidR="003F64F7" w:rsidRPr="003F64F7" w:rsidRDefault="003F64F7">
            <w:pPr>
              <w:jc w:val="center"/>
              <w:rPr>
                <w:rFonts w:ascii="Arial" w:hAnsi="Arial" w:cs="Arial"/>
                <w:b/>
                <w:bCs/>
                <w:color w:val="002060"/>
                <w:sz w:val="20"/>
                <w:szCs w:val="20"/>
              </w:rPr>
            </w:pPr>
            <w:r w:rsidRPr="003F64F7">
              <w:rPr>
                <w:rFonts w:ascii="Arial" w:hAnsi="Arial" w:cs="Arial"/>
                <w:b/>
                <w:bCs/>
                <w:color w:val="002060"/>
                <w:sz w:val="20"/>
                <w:szCs w:val="20"/>
              </w:rPr>
              <w:t>2016</w:t>
            </w:r>
          </w:p>
        </w:tc>
        <w:tc>
          <w:tcPr>
            <w:tcW w:w="1114" w:type="dxa"/>
            <w:shd w:val="clear" w:color="auto" w:fill="auto"/>
            <w:noWrap/>
            <w:vAlign w:val="bottom"/>
            <w:hideMark/>
          </w:tcPr>
          <w:p w:rsidR="003F64F7" w:rsidRPr="003F64F7" w:rsidRDefault="003F64F7">
            <w:pPr>
              <w:jc w:val="center"/>
              <w:rPr>
                <w:rFonts w:ascii="Arial" w:hAnsi="Arial" w:cs="Arial"/>
                <w:b/>
                <w:bCs/>
                <w:color w:val="002060"/>
                <w:sz w:val="20"/>
                <w:szCs w:val="20"/>
              </w:rPr>
            </w:pPr>
            <w:r w:rsidRPr="003F64F7">
              <w:rPr>
                <w:rFonts w:ascii="Arial" w:hAnsi="Arial" w:cs="Arial"/>
                <w:b/>
                <w:bCs/>
                <w:color w:val="002060"/>
                <w:sz w:val="20"/>
                <w:szCs w:val="20"/>
              </w:rPr>
              <w:t>2017</w:t>
            </w:r>
          </w:p>
        </w:tc>
        <w:tc>
          <w:tcPr>
            <w:tcW w:w="1114" w:type="dxa"/>
            <w:shd w:val="clear" w:color="auto" w:fill="auto"/>
            <w:noWrap/>
            <w:vAlign w:val="bottom"/>
            <w:hideMark/>
          </w:tcPr>
          <w:p w:rsidR="003F64F7" w:rsidRPr="003F64F7" w:rsidRDefault="003F64F7">
            <w:pPr>
              <w:jc w:val="center"/>
              <w:rPr>
                <w:rFonts w:ascii="Arial" w:hAnsi="Arial" w:cs="Arial"/>
                <w:b/>
                <w:bCs/>
                <w:color w:val="002060"/>
                <w:sz w:val="20"/>
                <w:szCs w:val="20"/>
              </w:rPr>
            </w:pPr>
            <w:r w:rsidRPr="003F64F7">
              <w:rPr>
                <w:rFonts w:ascii="Arial" w:hAnsi="Arial" w:cs="Arial"/>
                <w:b/>
                <w:bCs/>
                <w:color w:val="002060"/>
                <w:sz w:val="20"/>
                <w:szCs w:val="20"/>
              </w:rPr>
              <w:t>2018</w:t>
            </w:r>
          </w:p>
        </w:tc>
        <w:tc>
          <w:tcPr>
            <w:tcW w:w="1114" w:type="dxa"/>
            <w:shd w:val="clear" w:color="auto" w:fill="auto"/>
            <w:noWrap/>
            <w:vAlign w:val="bottom"/>
            <w:hideMark/>
          </w:tcPr>
          <w:p w:rsidR="003F64F7" w:rsidRPr="003F64F7" w:rsidRDefault="003F64F7">
            <w:pPr>
              <w:jc w:val="center"/>
              <w:rPr>
                <w:rFonts w:ascii="Arial" w:hAnsi="Arial" w:cs="Arial"/>
                <w:b/>
                <w:bCs/>
                <w:color w:val="002060"/>
                <w:sz w:val="20"/>
                <w:szCs w:val="20"/>
              </w:rPr>
            </w:pPr>
            <w:r w:rsidRPr="003F64F7">
              <w:rPr>
                <w:rFonts w:ascii="Arial" w:hAnsi="Arial" w:cs="Arial"/>
                <w:b/>
                <w:bCs/>
                <w:color w:val="002060"/>
                <w:sz w:val="20"/>
                <w:szCs w:val="20"/>
              </w:rPr>
              <w:t>2019</w:t>
            </w:r>
          </w:p>
        </w:tc>
      </w:tr>
      <w:tr w:rsidR="003F64F7" w:rsidRPr="003F64F7" w:rsidTr="0036789D">
        <w:trPr>
          <w:trHeight w:val="260"/>
        </w:trPr>
        <w:tc>
          <w:tcPr>
            <w:tcW w:w="3137" w:type="dxa"/>
            <w:shd w:val="clear" w:color="auto" w:fill="auto"/>
            <w:noWrap/>
            <w:vAlign w:val="bottom"/>
            <w:hideMark/>
          </w:tcPr>
          <w:p w:rsidR="003F64F7" w:rsidRPr="003F64F7" w:rsidRDefault="003F64F7">
            <w:pPr>
              <w:rPr>
                <w:rFonts w:ascii="Arial" w:hAnsi="Arial" w:cs="Arial"/>
                <w:color w:val="002060"/>
                <w:sz w:val="20"/>
                <w:szCs w:val="20"/>
              </w:rPr>
            </w:pPr>
            <w:r w:rsidRPr="003F64F7">
              <w:rPr>
                <w:rFonts w:ascii="Arial" w:hAnsi="Arial" w:cs="Arial"/>
                <w:color w:val="002060"/>
                <w:sz w:val="20"/>
                <w:szCs w:val="20"/>
              </w:rPr>
              <w:t>Vendes</w:t>
            </w:r>
          </w:p>
        </w:tc>
        <w:tc>
          <w:tcPr>
            <w:tcW w:w="1114" w:type="dxa"/>
            <w:shd w:val="clear" w:color="auto" w:fill="auto"/>
            <w:noWrap/>
            <w:vAlign w:val="bottom"/>
            <w:hideMark/>
          </w:tcPr>
          <w:p w:rsidR="003F64F7" w:rsidRPr="003F64F7" w:rsidRDefault="003F64F7">
            <w:pPr>
              <w:jc w:val="center"/>
              <w:rPr>
                <w:rFonts w:ascii="Arial" w:hAnsi="Arial" w:cs="Arial"/>
                <w:color w:val="002060"/>
                <w:sz w:val="20"/>
                <w:szCs w:val="20"/>
              </w:rPr>
            </w:pPr>
            <w:r w:rsidRPr="003F64F7">
              <w:rPr>
                <w:rFonts w:ascii="Arial" w:hAnsi="Arial" w:cs="Arial"/>
                <w:color w:val="002060"/>
                <w:sz w:val="20"/>
                <w:szCs w:val="20"/>
              </w:rPr>
              <w:t>199.784</w:t>
            </w:r>
          </w:p>
        </w:tc>
        <w:tc>
          <w:tcPr>
            <w:tcW w:w="1147" w:type="dxa"/>
            <w:shd w:val="clear" w:color="auto" w:fill="auto"/>
            <w:noWrap/>
            <w:vAlign w:val="bottom"/>
            <w:hideMark/>
          </w:tcPr>
          <w:p w:rsidR="003F64F7" w:rsidRPr="003F64F7" w:rsidRDefault="003F64F7">
            <w:pPr>
              <w:jc w:val="center"/>
              <w:rPr>
                <w:rFonts w:ascii="Arial" w:hAnsi="Arial" w:cs="Arial"/>
                <w:color w:val="002060"/>
                <w:sz w:val="20"/>
                <w:szCs w:val="20"/>
              </w:rPr>
            </w:pPr>
            <w:r w:rsidRPr="003F64F7">
              <w:rPr>
                <w:rFonts w:ascii="Arial" w:hAnsi="Arial" w:cs="Arial"/>
                <w:color w:val="002060"/>
                <w:sz w:val="20"/>
                <w:szCs w:val="20"/>
              </w:rPr>
              <w:t>222.561</w:t>
            </w:r>
          </w:p>
        </w:tc>
        <w:tc>
          <w:tcPr>
            <w:tcW w:w="1114" w:type="dxa"/>
            <w:shd w:val="clear" w:color="auto" w:fill="auto"/>
            <w:noWrap/>
            <w:vAlign w:val="bottom"/>
            <w:hideMark/>
          </w:tcPr>
          <w:p w:rsidR="003F64F7" w:rsidRPr="003F64F7" w:rsidRDefault="003F64F7">
            <w:pPr>
              <w:jc w:val="center"/>
              <w:rPr>
                <w:rFonts w:ascii="Arial" w:hAnsi="Arial" w:cs="Arial"/>
                <w:color w:val="002060"/>
                <w:sz w:val="20"/>
                <w:szCs w:val="20"/>
              </w:rPr>
            </w:pPr>
            <w:r w:rsidRPr="003F64F7">
              <w:rPr>
                <w:rFonts w:ascii="Arial" w:hAnsi="Arial" w:cs="Arial"/>
                <w:color w:val="002060"/>
                <w:sz w:val="20"/>
                <w:szCs w:val="20"/>
              </w:rPr>
              <w:t>242.815</w:t>
            </w:r>
          </w:p>
        </w:tc>
        <w:tc>
          <w:tcPr>
            <w:tcW w:w="1114" w:type="dxa"/>
            <w:shd w:val="clear" w:color="auto" w:fill="auto"/>
            <w:noWrap/>
            <w:vAlign w:val="bottom"/>
            <w:hideMark/>
          </w:tcPr>
          <w:p w:rsidR="003F64F7" w:rsidRPr="003F64F7" w:rsidRDefault="003F64F7">
            <w:pPr>
              <w:jc w:val="center"/>
              <w:rPr>
                <w:rFonts w:ascii="Arial" w:hAnsi="Arial" w:cs="Arial"/>
                <w:color w:val="002060"/>
                <w:sz w:val="20"/>
                <w:szCs w:val="20"/>
              </w:rPr>
            </w:pPr>
            <w:r w:rsidRPr="003F64F7">
              <w:rPr>
                <w:rFonts w:ascii="Arial" w:hAnsi="Arial" w:cs="Arial"/>
                <w:color w:val="002060"/>
                <w:sz w:val="20"/>
                <w:szCs w:val="20"/>
              </w:rPr>
              <w:t>256.800</w:t>
            </w:r>
          </w:p>
        </w:tc>
        <w:tc>
          <w:tcPr>
            <w:tcW w:w="1114" w:type="dxa"/>
            <w:shd w:val="clear" w:color="auto" w:fill="auto"/>
            <w:noWrap/>
            <w:vAlign w:val="bottom"/>
            <w:hideMark/>
          </w:tcPr>
          <w:p w:rsidR="003F64F7" w:rsidRPr="003F64F7" w:rsidRDefault="003F64F7">
            <w:pPr>
              <w:jc w:val="center"/>
              <w:rPr>
                <w:rFonts w:ascii="Arial" w:hAnsi="Arial" w:cs="Arial"/>
                <w:color w:val="002060"/>
                <w:sz w:val="20"/>
                <w:szCs w:val="20"/>
              </w:rPr>
            </w:pPr>
            <w:r w:rsidRPr="003F64F7">
              <w:rPr>
                <w:rFonts w:ascii="Arial" w:hAnsi="Arial" w:cs="Arial"/>
                <w:color w:val="002060"/>
                <w:sz w:val="20"/>
                <w:szCs w:val="20"/>
              </w:rPr>
              <w:t>277.175</w:t>
            </w:r>
          </w:p>
        </w:tc>
      </w:tr>
      <w:tr w:rsidR="003F64F7" w:rsidRPr="003F64F7" w:rsidTr="0036789D">
        <w:trPr>
          <w:trHeight w:val="260"/>
        </w:trPr>
        <w:tc>
          <w:tcPr>
            <w:tcW w:w="3137" w:type="dxa"/>
            <w:shd w:val="clear" w:color="auto" w:fill="auto"/>
            <w:noWrap/>
            <w:vAlign w:val="bottom"/>
            <w:hideMark/>
          </w:tcPr>
          <w:p w:rsidR="003F64F7" w:rsidRPr="003F64F7" w:rsidRDefault="003F64F7">
            <w:pPr>
              <w:rPr>
                <w:rFonts w:ascii="Arial" w:hAnsi="Arial" w:cs="Arial"/>
                <w:color w:val="002060"/>
                <w:sz w:val="20"/>
                <w:szCs w:val="20"/>
              </w:rPr>
            </w:pPr>
            <w:r w:rsidRPr="003F64F7">
              <w:rPr>
                <w:rFonts w:ascii="Arial" w:hAnsi="Arial" w:cs="Arial"/>
                <w:color w:val="002060"/>
                <w:sz w:val="20"/>
                <w:szCs w:val="20"/>
              </w:rPr>
              <w:t>Resultat explotació</w:t>
            </w:r>
          </w:p>
        </w:tc>
        <w:tc>
          <w:tcPr>
            <w:tcW w:w="1114" w:type="dxa"/>
            <w:shd w:val="clear" w:color="auto" w:fill="auto"/>
            <w:noWrap/>
            <w:vAlign w:val="bottom"/>
            <w:hideMark/>
          </w:tcPr>
          <w:p w:rsidR="003F64F7" w:rsidRPr="003F64F7" w:rsidRDefault="003F64F7">
            <w:pPr>
              <w:jc w:val="center"/>
              <w:rPr>
                <w:rFonts w:ascii="Arial" w:hAnsi="Arial" w:cs="Arial"/>
                <w:color w:val="002060"/>
                <w:sz w:val="20"/>
                <w:szCs w:val="20"/>
              </w:rPr>
            </w:pPr>
            <w:r w:rsidRPr="003F64F7">
              <w:rPr>
                <w:rFonts w:ascii="Arial" w:hAnsi="Arial" w:cs="Arial"/>
                <w:color w:val="002060"/>
                <w:sz w:val="20"/>
                <w:szCs w:val="20"/>
              </w:rPr>
              <w:t>37.037</w:t>
            </w:r>
          </w:p>
        </w:tc>
        <w:tc>
          <w:tcPr>
            <w:tcW w:w="1147" w:type="dxa"/>
            <w:shd w:val="clear" w:color="auto" w:fill="auto"/>
            <w:noWrap/>
            <w:vAlign w:val="bottom"/>
            <w:hideMark/>
          </w:tcPr>
          <w:p w:rsidR="003F64F7" w:rsidRPr="003F64F7" w:rsidRDefault="003F64F7">
            <w:pPr>
              <w:jc w:val="center"/>
              <w:rPr>
                <w:rFonts w:ascii="Arial" w:hAnsi="Arial" w:cs="Arial"/>
                <w:color w:val="002060"/>
                <w:sz w:val="20"/>
                <w:szCs w:val="20"/>
              </w:rPr>
            </w:pPr>
            <w:r w:rsidRPr="003F64F7">
              <w:rPr>
                <w:rFonts w:ascii="Arial" w:hAnsi="Arial" w:cs="Arial"/>
                <w:color w:val="002060"/>
                <w:sz w:val="20"/>
                <w:szCs w:val="20"/>
              </w:rPr>
              <w:t>35.365</w:t>
            </w:r>
          </w:p>
        </w:tc>
        <w:tc>
          <w:tcPr>
            <w:tcW w:w="1114" w:type="dxa"/>
            <w:shd w:val="clear" w:color="auto" w:fill="auto"/>
            <w:noWrap/>
            <w:vAlign w:val="bottom"/>
            <w:hideMark/>
          </w:tcPr>
          <w:p w:rsidR="003F64F7" w:rsidRPr="003F64F7" w:rsidRDefault="003F64F7">
            <w:pPr>
              <w:jc w:val="center"/>
              <w:rPr>
                <w:rFonts w:ascii="Arial" w:hAnsi="Arial" w:cs="Arial"/>
                <w:color w:val="002060"/>
                <w:sz w:val="20"/>
                <w:szCs w:val="20"/>
              </w:rPr>
            </w:pPr>
            <w:r w:rsidRPr="003F64F7">
              <w:rPr>
                <w:rFonts w:ascii="Arial" w:hAnsi="Arial" w:cs="Arial"/>
                <w:color w:val="002060"/>
                <w:sz w:val="20"/>
                <w:szCs w:val="20"/>
              </w:rPr>
              <w:t>42.884</w:t>
            </w:r>
          </w:p>
        </w:tc>
        <w:tc>
          <w:tcPr>
            <w:tcW w:w="1114" w:type="dxa"/>
            <w:shd w:val="clear" w:color="auto" w:fill="auto"/>
            <w:noWrap/>
            <w:vAlign w:val="bottom"/>
            <w:hideMark/>
          </w:tcPr>
          <w:p w:rsidR="003F64F7" w:rsidRPr="003F64F7" w:rsidRDefault="003F64F7">
            <w:pPr>
              <w:jc w:val="center"/>
              <w:rPr>
                <w:rFonts w:ascii="Arial" w:hAnsi="Arial" w:cs="Arial"/>
                <w:color w:val="002060"/>
                <w:sz w:val="20"/>
                <w:szCs w:val="20"/>
              </w:rPr>
            </w:pPr>
            <w:r w:rsidRPr="003F64F7">
              <w:rPr>
                <w:rFonts w:ascii="Arial" w:hAnsi="Arial" w:cs="Arial"/>
                <w:color w:val="002060"/>
                <w:sz w:val="20"/>
                <w:szCs w:val="20"/>
              </w:rPr>
              <w:t>41.191</w:t>
            </w:r>
          </w:p>
        </w:tc>
        <w:tc>
          <w:tcPr>
            <w:tcW w:w="1114" w:type="dxa"/>
            <w:shd w:val="clear" w:color="auto" w:fill="auto"/>
            <w:noWrap/>
            <w:vAlign w:val="bottom"/>
            <w:hideMark/>
          </w:tcPr>
          <w:p w:rsidR="003F64F7" w:rsidRPr="003F64F7" w:rsidRDefault="003F64F7">
            <w:pPr>
              <w:jc w:val="center"/>
              <w:rPr>
                <w:rFonts w:ascii="Arial" w:hAnsi="Arial" w:cs="Arial"/>
                <w:color w:val="002060"/>
                <w:sz w:val="20"/>
                <w:szCs w:val="20"/>
              </w:rPr>
            </w:pPr>
            <w:r w:rsidRPr="003F64F7">
              <w:rPr>
                <w:rFonts w:ascii="Arial" w:hAnsi="Arial" w:cs="Arial"/>
                <w:color w:val="002060"/>
                <w:sz w:val="20"/>
                <w:szCs w:val="20"/>
              </w:rPr>
              <w:t>47.045</w:t>
            </w:r>
          </w:p>
        </w:tc>
      </w:tr>
      <w:tr w:rsidR="003F64F7" w:rsidRPr="003F64F7" w:rsidTr="0036789D">
        <w:trPr>
          <w:trHeight w:val="260"/>
        </w:trPr>
        <w:tc>
          <w:tcPr>
            <w:tcW w:w="3137" w:type="dxa"/>
            <w:shd w:val="clear" w:color="000000" w:fill="E7E6E6"/>
            <w:noWrap/>
            <w:vAlign w:val="bottom"/>
            <w:hideMark/>
          </w:tcPr>
          <w:p w:rsidR="003F64F7" w:rsidRPr="003F64F7" w:rsidRDefault="003F64F7">
            <w:pPr>
              <w:rPr>
                <w:rFonts w:ascii="Arial" w:hAnsi="Arial" w:cs="Arial"/>
                <w:b/>
                <w:bCs/>
                <w:color w:val="002060"/>
                <w:sz w:val="20"/>
                <w:szCs w:val="20"/>
              </w:rPr>
            </w:pPr>
            <w:r w:rsidRPr="003F64F7">
              <w:rPr>
                <w:rFonts w:ascii="Arial" w:hAnsi="Arial" w:cs="Arial"/>
                <w:b/>
                <w:bCs/>
                <w:color w:val="002060"/>
                <w:sz w:val="20"/>
                <w:szCs w:val="20"/>
              </w:rPr>
              <w:t>Ràtio Palanquejament</w:t>
            </w:r>
          </w:p>
        </w:tc>
        <w:tc>
          <w:tcPr>
            <w:tcW w:w="1114" w:type="dxa"/>
            <w:shd w:val="clear" w:color="000000" w:fill="E7E6E6"/>
            <w:noWrap/>
            <w:vAlign w:val="bottom"/>
            <w:hideMark/>
          </w:tcPr>
          <w:p w:rsidR="003F64F7" w:rsidRPr="003F64F7" w:rsidRDefault="003F64F7">
            <w:pPr>
              <w:jc w:val="center"/>
              <w:rPr>
                <w:rFonts w:ascii="Arial" w:hAnsi="Arial" w:cs="Arial"/>
                <w:b/>
                <w:bCs/>
                <w:color w:val="002060"/>
                <w:sz w:val="20"/>
                <w:szCs w:val="20"/>
              </w:rPr>
            </w:pPr>
            <w:r w:rsidRPr="003F64F7">
              <w:rPr>
                <w:rFonts w:ascii="Arial" w:hAnsi="Arial" w:cs="Arial"/>
                <w:b/>
                <w:bCs/>
                <w:color w:val="002060"/>
                <w:sz w:val="20"/>
                <w:szCs w:val="20"/>
              </w:rPr>
              <w:t>-</w:t>
            </w:r>
          </w:p>
        </w:tc>
        <w:tc>
          <w:tcPr>
            <w:tcW w:w="1147" w:type="dxa"/>
            <w:shd w:val="clear" w:color="000000" w:fill="E7E6E6"/>
            <w:noWrap/>
            <w:vAlign w:val="bottom"/>
            <w:hideMark/>
          </w:tcPr>
          <w:p w:rsidR="003F64F7" w:rsidRPr="003F64F7" w:rsidRDefault="003F64F7">
            <w:pPr>
              <w:jc w:val="center"/>
              <w:rPr>
                <w:rFonts w:ascii="Arial" w:hAnsi="Arial" w:cs="Arial"/>
                <w:b/>
                <w:bCs/>
                <w:color w:val="002060"/>
                <w:sz w:val="20"/>
                <w:szCs w:val="20"/>
              </w:rPr>
            </w:pPr>
            <w:r w:rsidRPr="003F64F7">
              <w:rPr>
                <w:rFonts w:ascii="Arial" w:hAnsi="Arial" w:cs="Arial"/>
                <w:b/>
                <w:bCs/>
                <w:color w:val="002060"/>
                <w:sz w:val="20"/>
                <w:szCs w:val="20"/>
              </w:rPr>
              <w:t>-13,62%</w:t>
            </w:r>
          </w:p>
        </w:tc>
        <w:tc>
          <w:tcPr>
            <w:tcW w:w="1114" w:type="dxa"/>
            <w:shd w:val="clear" w:color="000000" w:fill="E7E6E6"/>
            <w:noWrap/>
            <w:vAlign w:val="bottom"/>
            <w:hideMark/>
          </w:tcPr>
          <w:p w:rsidR="003F64F7" w:rsidRPr="003F64F7" w:rsidRDefault="003F64F7">
            <w:pPr>
              <w:jc w:val="center"/>
              <w:rPr>
                <w:rFonts w:ascii="Arial" w:hAnsi="Arial" w:cs="Arial"/>
                <w:b/>
                <w:bCs/>
                <w:color w:val="002060"/>
                <w:sz w:val="20"/>
                <w:szCs w:val="20"/>
              </w:rPr>
            </w:pPr>
            <w:r w:rsidRPr="003F64F7">
              <w:rPr>
                <w:rFonts w:ascii="Arial" w:hAnsi="Arial" w:cs="Arial"/>
                <w:b/>
                <w:bCs/>
                <w:color w:val="002060"/>
                <w:sz w:val="20"/>
                <w:szCs w:val="20"/>
              </w:rPr>
              <w:t>2,69%</w:t>
            </w:r>
          </w:p>
        </w:tc>
        <w:tc>
          <w:tcPr>
            <w:tcW w:w="1114" w:type="dxa"/>
            <w:shd w:val="clear" w:color="000000" w:fill="E7E6E6"/>
            <w:noWrap/>
            <w:vAlign w:val="bottom"/>
            <w:hideMark/>
          </w:tcPr>
          <w:p w:rsidR="003F64F7" w:rsidRPr="003F64F7" w:rsidRDefault="003F64F7">
            <w:pPr>
              <w:jc w:val="center"/>
              <w:rPr>
                <w:rFonts w:ascii="Arial" w:hAnsi="Arial" w:cs="Arial"/>
                <w:b/>
                <w:bCs/>
                <w:color w:val="002060"/>
                <w:sz w:val="20"/>
                <w:szCs w:val="20"/>
              </w:rPr>
            </w:pPr>
            <w:r w:rsidRPr="003F64F7">
              <w:rPr>
                <w:rFonts w:ascii="Arial" w:hAnsi="Arial" w:cs="Arial"/>
                <w:b/>
                <w:bCs/>
                <w:color w:val="002060"/>
                <w:sz w:val="20"/>
                <w:szCs w:val="20"/>
              </w:rPr>
              <w:t>-8,26%</w:t>
            </w:r>
          </w:p>
        </w:tc>
        <w:tc>
          <w:tcPr>
            <w:tcW w:w="1114" w:type="dxa"/>
            <w:shd w:val="clear" w:color="000000" w:fill="E7E6E6"/>
            <w:noWrap/>
            <w:vAlign w:val="bottom"/>
            <w:hideMark/>
          </w:tcPr>
          <w:p w:rsidR="003F64F7" w:rsidRPr="003F64F7" w:rsidRDefault="003F64F7">
            <w:pPr>
              <w:jc w:val="center"/>
              <w:rPr>
                <w:rFonts w:ascii="Arial" w:hAnsi="Arial" w:cs="Arial"/>
                <w:b/>
                <w:bCs/>
                <w:color w:val="002060"/>
                <w:sz w:val="20"/>
                <w:szCs w:val="20"/>
              </w:rPr>
            </w:pPr>
            <w:r w:rsidRPr="003F64F7">
              <w:rPr>
                <w:rFonts w:ascii="Arial" w:hAnsi="Arial" w:cs="Arial"/>
                <w:b/>
                <w:bCs/>
                <w:color w:val="002060"/>
                <w:sz w:val="20"/>
                <w:szCs w:val="20"/>
              </w:rPr>
              <w:t>3,48%</w:t>
            </w:r>
          </w:p>
        </w:tc>
      </w:tr>
    </w:tbl>
    <w:p w:rsidR="003F64F7" w:rsidRDefault="003F64F7" w:rsidP="002D48FA">
      <w:pPr>
        <w:jc w:val="both"/>
        <w:rPr>
          <w:rFonts w:ascii="Arial" w:hAnsi="Arial" w:cs="Arial"/>
          <w:color w:val="000361"/>
          <w:sz w:val="16"/>
          <w:szCs w:val="16"/>
        </w:rPr>
      </w:pPr>
    </w:p>
    <w:p w:rsidR="00396522" w:rsidRPr="00A12F82" w:rsidRDefault="003F64F7" w:rsidP="002D48FA">
      <w:pPr>
        <w:jc w:val="both"/>
        <w:rPr>
          <w:rFonts w:ascii="Arial" w:hAnsi="Arial" w:cs="Arial"/>
          <w:color w:val="000361"/>
          <w:sz w:val="14"/>
          <w:szCs w:val="14"/>
        </w:rPr>
      </w:pPr>
      <w:r w:rsidRPr="00A12F82">
        <w:rPr>
          <w:rFonts w:ascii="Arial" w:hAnsi="Arial" w:cs="Arial"/>
          <w:color w:val="000361"/>
          <w:sz w:val="14"/>
          <w:szCs w:val="14"/>
        </w:rPr>
        <w:t>Font: Elaboració pròpia en base al compte de pèrdues i guanys de Laboratoris Hipra 2015-2019</w:t>
      </w:r>
      <w:r w:rsidR="0017266E" w:rsidRPr="00A12F82">
        <w:rPr>
          <w:rFonts w:ascii="Arial" w:hAnsi="Arial" w:cs="Arial"/>
          <w:color w:val="000361"/>
          <w:sz w:val="14"/>
          <w:szCs w:val="14"/>
        </w:rPr>
        <w:t xml:space="preserve">. El càlcul realitzat </w:t>
      </w:r>
      <w:r w:rsidR="006D7511" w:rsidRPr="00A12F82">
        <w:rPr>
          <w:rFonts w:ascii="Arial" w:hAnsi="Arial" w:cs="Arial"/>
          <w:color w:val="000361"/>
          <w:sz w:val="14"/>
          <w:szCs w:val="14"/>
        </w:rPr>
        <w:t>es</w:t>
      </w:r>
      <w:r w:rsidR="0017266E" w:rsidRPr="00A12F82">
        <w:rPr>
          <w:rFonts w:ascii="Arial" w:hAnsi="Arial" w:cs="Arial"/>
          <w:color w:val="000361"/>
          <w:sz w:val="14"/>
          <w:szCs w:val="14"/>
        </w:rPr>
        <w:t xml:space="preserve"> pot consultar a l’annex </w:t>
      </w:r>
      <w:r w:rsidR="00A12F82" w:rsidRPr="00A12F82">
        <w:rPr>
          <w:rFonts w:ascii="Arial" w:hAnsi="Arial" w:cs="Arial"/>
          <w:color w:val="000361"/>
          <w:sz w:val="14"/>
          <w:szCs w:val="14"/>
        </w:rPr>
        <w:t>1.</w:t>
      </w:r>
      <w:r w:rsidR="0017266E" w:rsidRPr="00A12F82">
        <w:rPr>
          <w:rFonts w:ascii="Arial" w:hAnsi="Arial" w:cs="Arial"/>
          <w:color w:val="000361"/>
          <w:sz w:val="14"/>
          <w:szCs w:val="14"/>
        </w:rPr>
        <w:t>2.</w:t>
      </w:r>
    </w:p>
    <w:p w:rsidR="003F64F7" w:rsidRDefault="003F64F7" w:rsidP="002D48FA">
      <w:pPr>
        <w:jc w:val="both"/>
        <w:rPr>
          <w:rFonts w:ascii="Arial" w:hAnsi="Arial" w:cs="Arial"/>
          <w:color w:val="000361"/>
          <w:sz w:val="20"/>
          <w:szCs w:val="20"/>
        </w:rPr>
      </w:pPr>
    </w:p>
    <w:p w:rsidR="003F64F7" w:rsidRPr="006C704B" w:rsidRDefault="003F64F7" w:rsidP="002D48FA">
      <w:pPr>
        <w:jc w:val="both"/>
        <w:rPr>
          <w:rFonts w:ascii="Arial" w:hAnsi="Arial" w:cs="Arial"/>
          <w:color w:val="002060"/>
          <w:sz w:val="20"/>
          <w:szCs w:val="20"/>
        </w:rPr>
      </w:pPr>
      <w:r w:rsidRPr="006C704B">
        <w:rPr>
          <w:rFonts w:ascii="Arial" w:hAnsi="Arial" w:cs="Arial"/>
          <w:color w:val="002060"/>
          <w:sz w:val="20"/>
          <w:szCs w:val="20"/>
        </w:rPr>
        <w:t xml:space="preserve">Laboratoris Hipra l’any 2016 i 2018 </w:t>
      </w:r>
      <w:r w:rsidR="00523845" w:rsidRPr="006C704B">
        <w:rPr>
          <w:rFonts w:ascii="Arial" w:hAnsi="Arial" w:cs="Arial"/>
          <w:color w:val="002060"/>
          <w:sz w:val="20"/>
          <w:szCs w:val="20"/>
        </w:rPr>
        <w:t xml:space="preserve">amb valors negatius </w:t>
      </w:r>
      <w:r w:rsidRPr="006C704B">
        <w:rPr>
          <w:rFonts w:ascii="Arial" w:hAnsi="Arial" w:cs="Arial"/>
          <w:color w:val="002060"/>
          <w:sz w:val="20"/>
          <w:szCs w:val="20"/>
        </w:rPr>
        <w:t>no ha estat capaç de traslladar l’increment de vendes al resultat</w:t>
      </w:r>
      <w:r w:rsidR="00523845" w:rsidRPr="006C704B">
        <w:rPr>
          <w:rFonts w:ascii="Arial" w:hAnsi="Arial" w:cs="Arial"/>
          <w:color w:val="002060"/>
          <w:sz w:val="20"/>
          <w:szCs w:val="20"/>
        </w:rPr>
        <w:t>, en canvi si que ho ha fet de manera discreta els exercicis 2017 i 2019 en els quals ha pogut recollir en el resultat d’explotació un 2,69% i 3,48% sobre l’increment de vendes</w:t>
      </w:r>
      <w:r w:rsidR="001B47CC" w:rsidRPr="006C704B">
        <w:rPr>
          <w:rFonts w:ascii="Arial" w:hAnsi="Arial" w:cs="Arial"/>
          <w:color w:val="002060"/>
          <w:sz w:val="20"/>
          <w:szCs w:val="20"/>
        </w:rPr>
        <w:t>. Com hem comprovat amb l’anàlisi percentual horitzontal del compte de pèrdues i guanys</w:t>
      </w:r>
      <w:r w:rsidR="00EF37AD" w:rsidRPr="006C704B">
        <w:rPr>
          <w:rFonts w:ascii="Arial" w:hAnsi="Arial" w:cs="Arial"/>
          <w:color w:val="002060"/>
          <w:sz w:val="20"/>
          <w:szCs w:val="20"/>
        </w:rPr>
        <w:t xml:space="preserve"> (gràfic 2.4)</w:t>
      </w:r>
      <w:r w:rsidR="001B47CC" w:rsidRPr="006C704B">
        <w:rPr>
          <w:rFonts w:ascii="Arial" w:hAnsi="Arial" w:cs="Arial"/>
          <w:color w:val="002060"/>
          <w:sz w:val="20"/>
          <w:szCs w:val="20"/>
        </w:rPr>
        <w:t xml:space="preserve">, hi ha </w:t>
      </w:r>
      <w:r w:rsidR="005B13D5">
        <w:rPr>
          <w:rFonts w:ascii="Arial" w:hAnsi="Arial" w:cs="Arial"/>
          <w:color w:val="002060"/>
          <w:sz w:val="20"/>
          <w:szCs w:val="20"/>
        </w:rPr>
        <w:t>despeses</w:t>
      </w:r>
      <w:r w:rsidR="00EF37AD" w:rsidRPr="006C704B">
        <w:rPr>
          <w:rFonts w:ascii="Arial" w:hAnsi="Arial" w:cs="Arial"/>
          <w:color w:val="002060"/>
          <w:sz w:val="20"/>
          <w:szCs w:val="20"/>
        </w:rPr>
        <w:t xml:space="preserve"> </w:t>
      </w:r>
      <w:r w:rsidR="00FC60F3">
        <w:rPr>
          <w:rFonts w:ascii="Arial" w:hAnsi="Arial" w:cs="Arial"/>
          <w:color w:val="002060"/>
          <w:sz w:val="20"/>
          <w:szCs w:val="20"/>
        </w:rPr>
        <w:t>amb un pes molt rellevant que no tenen un comportament</w:t>
      </w:r>
      <w:r w:rsidR="00EF37AD" w:rsidRPr="006C704B">
        <w:rPr>
          <w:rFonts w:ascii="Arial" w:hAnsi="Arial" w:cs="Arial"/>
          <w:color w:val="002060"/>
          <w:sz w:val="20"/>
          <w:szCs w:val="20"/>
        </w:rPr>
        <w:t xml:space="preserve"> </w:t>
      </w:r>
      <w:r w:rsidR="00FC60F3">
        <w:rPr>
          <w:rFonts w:ascii="Arial" w:hAnsi="Arial" w:cs="Arial"/>
          <w:color w:val="002060"/>
          <w:sz w:val="20"/>
          <w:szCs w:val="20"/>
        </w:rPr>
        <w:t>estrictament</w:t>
      </w:r>
      <w:r w:rsidR="00EF37AD" w:rsidRPr="006C704B">
        <w:rPr>
          <w:rFonts w:ascii="Arial" w:hAnsi="Arial" w:cs="Arial"/>
          <w:color w:val="002060"/>
          <w:sz w:val="20"/>
          <w:szCs w:val="20"/>
        </w:rPr>
        <w:t xml:space="preserve"> variable</w:t>
      </w:r>
      <w:r w:rsidR="001B47CC" w:rsidRPr="006C704B">
        <w:rPr>
          <w:rFonts w:ascii="Arial" w:hAnsi="Arial" w:cs="Arial"/>
          <w:color w:val="002060"/>
          <w:sz w:val="20"/>
          <w:szCs w:val="20"/>
        </w:rPr>
        <w:t xml:space="preserve"> </w:t>
      </w:r>
      <w:r w:rsidR="00EF37AD" w:rsidRPr="006C704B">
        <w:rPr>
          <w:rFonts w:ascii="Arial" w:hAnsi="Arial" w:cs="Arial"/>
          <w:color w:val="002060"/>
          <w:sz w:val="20"/>
          <w:szCs w:val="20"/>
        </w:rPr>
        <w:t>i</w:t>
      </w:r>
      <w:r w:rsidR="001B47CC" w:rsidRPr="006C704B">
        <w:rPr>
          <w:rFonts w:ascii="Arial" w:hAnsi="Arial" w:cs="Arial"/>
          <w:color w:val="002060"/>
          <w:sz w:val="20"/>
          <w:szCs w:val="20"/>
        </w:rPr>
        <w:t xml:space="preserve"> </w:t>
      </w:r>
      <w:r w:rsidR="00EF37AD" w:rsidRPr="006C704B">
        <w:rPr>
          <w:rFonts w:ascii="Arial" w:hAnsi="Arial" w:cs="Arial"/>
          <w:color w:val="002060"/>
          <w:sz w:val="20"/>
          <w:szCs w:val="20"/>
        </w:rPr>
        <w:t>que</w:t>
      </w:r>
      <w:r w:rsidR="001B47CC" w:rsidRPr="006C704B">
        <w:rPr>
          <w:rFonts w:ascii="Arial" w:hAnsi="Arial" w:cs="Arial"/>
          <w:color w:val="002060"/>
          <w:sz w:val="20"/>
          <w:szCs w:val="20"/>
        </w:rPr>
        <w:t xml:space="preserve"> augment</w:t>
      </w:r>
      <w:r w:rsidR="00EF37AD" w:rsidRPr="006C704B">
        <w:rPr>
          <w:rFonts w:ascii="Arial" w:hAnsi="Arial" w:cs="Arial"/>
          <w:color w:val="002060"/>
          <w:sz w:val="20"/>
          <w:szCs w:val="20"/>
        </w:rPr>
        <w:t>en</w:t>
      </w:r>
      <w:r w:rsidR="00FC60F3">
        <w:rPr>
          <w:rFonts w:ascii="Arial" w:hAnsi="Arial" w:cs="Arial"/>
          <w:color w:val="002060"/>
          <w:sz w:val="20"/>
          <w:szCs w:val="20"/>
        </w:rPr>
        <w:t xml:space="preserve"> proporcionalment</w:t>
      </w:r>
      <w:r w:rsidR="001B47CC" w:rsidRPr="006C704B">
        <w:rPr>
          <w:rFonts w:ascii="Arial" w:hAnsi="Arial" w:cs="Arial"/>
          <w:color w:val="002060"/>
          <w:sz w:val="20"/>
          <w:szCs w:val="20"/>
        </w:rPr>
        <w:t xml:space="preserve"> a un ritme més elevat que les vendes</w:t>
      </w:r>
      <w:r w:rsidR="00FC60F3">
        <w:rPr>
          <w:rFonts w:ascii="Arial" w:hAnsi="Arial" w:cs="Arial"/>
          <w:color w:val="002060"/>
          <w:sz w:val="20"/>
          <w:szCs w:val="20"/>
        </w:rPr>
        <w:t>,</w:t>
      </w:r>
      <w:r w:rsidR="00EF37AD" w:rsidRPr="006C704B">
        <w:rPr>
          <w:rFonts w:ascii="Arial" w:hAnsi="Arial" w:cs="Arial"/>
          <w:color w:val="002060"/>
          <w:sz w:val="20"/>
          <w:szCs w:val="20"/>
        </w:rPr>
        <w:t xml:space="preserve"> </w:t>
      </w:r>
      <w:r w:rsidR="00FC60F3">
        <w:rPr>
          <w:rFonts w:ascii="Arial" w:hAnsi="Arial" w:cs="Arial"/>
          <w:color w:val="002060"/>
          <w:sz w:val="20"/>
          <w:szCs w:val="20"/>
        </w:rPr>
        <w:t>es tracta de</w:t>
      </w:r>
      <w:r w:rsidR="001B47CC" w:rsidRPr="006C704B">
        <w:rPr>
          <w:rFonts w:ascii="Arial" w:hAnsi="Arial" w:cs="Arial"/>
          <w:color w:val="002060"/>
          <w:sz w:val="20"/>
          <w:szCs w:val="20"/>
        </w:rPr>
        <w:t xml:space="preserve"> l’amortització de </w:t>
      </w:r>
      <w:r w:rsidR="00DF620D" w:rsidRPr="006C704B">
        <w:rPr>
          <w:rFonts w:ascii="Arial" w:hAnsi="Arial" w:cs="Arial"/>
          <w:color w:val="002060"/>
          <w:sz w:val="20"/>
          <w:szCs w:val="20"/>
        </w:rPr>
        <w:t>l’immobilitzat</w:t>
      </w:r>
      <w:r w:rsidR="001B47CC" w:rsidRPr="006C704B">
        <w:rPr>
          <w:rFonts w:ascii="Arial" w:hAnsi="Arial" w:cs="Arial"/>
          <w:color w:val="002060"/>
          <w:sz w:val="20"/>
          <w:szCs w:val="20"/>
        </w:rPr>
        <w:t xml:space="preserve"> i les despeses de personal </w:t>
      </w:r>
      <w:r w:rsidR="00EF37AD" w:rsidRPr="006C704B">
        <w:rPr>
          <w:rFonts w:ascii="Arial" w:hAnsi="Arial" w:cs="Arial"/>
          <w:color w:val="002060"/>
          <w:sz w:val="20"/>
          <w:szCs w:val="20"/>
        </w:rPr>
        <w:t xml:space="preserve">que podem </w:t>
      </w:r>
      <w:r w:rsidR="00FC60F3">
        <w:rPr>
          <w:rFonts w:ascii="Arial" w:hAnsi="Arial" w:cs="Arial"/>
          <w:color w:val="002060"/>
          <w:sz w:val="20"/>
          <w:szCs w:val="20"/>
        </w:rPr>
        <w:t>associar</w:t>
      </w:r>
      <w:r w:rsidR="00EF37AD" w:rsidRPr="006C704B">
        <w:rPr>
          <w:rFonts w:ascii="Arial" w:hAnsi="Arial" w:cs="Arial"/>
          <w:color w:val="002060"/>
          <w:sz w:val="20"/>
          <w:szCs w:val="20"/>
        </w:rPr>
        <w:t xml:space="preserve"> a </w:t>
      </w:r>
      <w:r w:rsidR="0093149A" w:rsidRPr="006C704B">
        <w:rPr>
          <w:rFonts w:ascii="Arial" w:hAnsi="Arial" w:cs="Arial"/>
          <w:color w:val="002060"/>
          <w:sz w:val="20"/>
          <w:szCs w:val="20"/>
        </w:rPr>
        <w:t>costos</w:t>
      </w:r>
      <w:r w:rsidR="00EF37AD" w:rsidRPr="006C704B">
        <w:rPr>
          <w:rFonts w:ascii="Arial" w:hAnsi="Arial" w:cs="Arial"/>
          <w:color w:val="002060"/>
          <w:sz w:val="20"/>
          <w:szCs w:val="20"/>
        </w:rPr>
        <w:t xml:space="preserve">  de</w:t>
      </w:r>
      <w:r w:rsidR="00A84C5E">
        <w:rPr>
          <w:rFonts w:ascii="Arial" w:hAnsi="Arial" w:cs="Arial"/>
          <w:color w:val="002060"/>
          <w:sz w:val="20"/>
          <w:szCs w:val="20"/>
        </w:rPr>
        <w:t>l</w:t>
      </w:r>
      <w:r w:rsidR="00EF37AD" w:rsidRPr="006C704B">
        <w:rPr>
          <w:rFonts w:ascii="Arial" w:hAnsi="Arial" w:cs="Arial"/>
          <w:color w:val="002060"/>
          <w:sz w:val="20"/>
          <w:szCs w:val="20"/>
        </w:rPr>
        <w:t xml:space="preserve"> </w:t>
      </w:r>
      <w:r w:rsidR="001B47CC" w:rsidRPr="006C704B">
        <w:rPr>
          <w:rFonts w:ascii="Arial" w:hAnsi="Arial" w:cs="Arial"/>
          <w:color w:val="002060"/>
          <w:sz w:val="20"/>
          <w:szCs w:val="20"/>
        </w:rPr>
        <w:t>creixement que està experimentant l’empresa</w:t>
      </w:r>
      <w:r w:rsidR="00EF37AD" w:rsidRPr="006C704B">
        <w:rPr>
          <w:rFonts w:ascii="Arial" w:hAnsi="Arial" w:cs="Arial"/>
          <w:color w:val="002060"/>
          <w:sz w:val="20"/>
          <w:szCs w:val="20"/>
        </w:rPr>
        <w:t>.</w:t>
      </w:r>
    </w:p>
    <w:p w:rsidR="00F6493A" w:rsidRDefault="00F6493A" w:rsidP="002D48FA">
      <w:pPr>
        <w:jc w:val="both"/>
        <w:rPr>
          <w:rFonts w:ascii="Arial" w:hAnsi="Arial" w:cs="Arial"/>
          <w:b/>
          <w:color w:val="000361"/>
          <w:sz w:val="20"/>
          <w:szCs w:val="20"/>
        </w:rPr>
      </w:pPr>
    </w:p>
    <w:p w:rsidR="00AB387A" w:rsidRPr="0056159E" w:rsidRDefault="00106DD6" w:rsidP="002D48FA">
      <w:pPr>
        <w:jc w:val="both"/>
        <w:rPr>
          <w:rFonts w:ascii="Arial" w:hAnsi="Arial" w:cs="Arial"/>
          <w:b/>
          <w:color w:val="000361"/>
        </w:rPr>
      </w:pPr>
      <w:r w:rsidRPr="0056159E">
        <w:rPr>
          <w:rFonts w:ascii="Arial" w:hAnsi="Arial" w:cs="Arial"/>
          <w:b/>
          <w:color w:val="000361"/>
        </w:rPr>
        <w:t>2.4. Anàlisi de la rendibilitat</w:t>
      </w:r>
    </w:p>
    <w:p w:rsidR="00F6493A" w:rsidRDefault="00F6493A" w:rsidP="002D48FA">
      <w:pPr>
        <w:jc w:val="both"/>
        <w:rPr>
          <w:rFonts w:ascii="Arial" w:hAnsi="Arial" w:cs="Arial"/>
          <w:b/>
          <w:color w:val="000361"/>
          <w:sz w:val="20"/>
          <w:szCs w:val="20"/>
        </w:rPr>
      </w:pPr>
    </w:p>
    <w:p w:rsidR="00942740" w:rsidRDefault="00942740" w:rsidP="00942740">
      <w:pPr>
        <w:jc w:val="both"/>
        <w:rPr>
          <w:rFonts w:ascii="Arial" w:hAnsi="Arial" w:cs="Arial"/>
          <w:color w:val="000361"/>
          <w:sz w:val="20"/>
          <w:szCs w:val="20"/>
        </w:rPr>
      </w:pPr>
      <w:r w:rsidRPr="00942740">
        <w:rPr>
          <w:rFonts w:ascii="Arial" w:hAnsi="Arial" w:cs="Arial"/>
          <w:color w:val="000361"/>
          <w:sz w:val="20"/>
          <w:szCs w:val="20"/>
        </w:rPr>
        <w:t>La rendibilitat de Laboratoris Hipra s’analitza en base a dades obtingudes del balanç i del compte de pèrdues i guanys</w:t>
      </w:r>
      <w:r w:rsidR="004434C0">
        <w:rPr>
          <w:rFonts w:ascii="Arial" w:hAnsi="Arial" w:cs="Arial"/>
          <w:color w:val="000361"/>
          <w:sz w:val="20"/>
          <w:szCs w:val="20"/>
        </w:rPr>
        <w:t xml:space="preserve"> pels exercicis del 2015 al 2019. S’elabora a continuació una taula amb els càlculs de les rendibilitats, en primer lloc econòmica referent al retorn de l’activitat principal de l’empresa i llavors la rendibilitat financera que incorpora al càlcul els mitjans amb els quals els actius han estat finançats. Les </w:t>
      </w:r>
      <w:r w:rsidR="00DF620D">
        <w:rPr>
          <w:rFonts w:ascii="Arial" w:hAnsi="Arial" w:cs="Arial"/>
          <w:color w:val="000361"/>
          <w:sz w:val="20"/>
          <w:szCs w:val="20"/>
        </w:rPr>
        <w:t>fórmules</w:t>
      </w:r>
      <w:r w:rsidR="004434C0">
        <w:rPr>
          <w:rFonts w:ascii="Arial" w:hAnsi="Arial" w:cs="Arial"/>
          <w:color w:val="000361"/>
          <w:sz w:val="20"/>
          <w:szCs w:val="20"/>
        </w:rPr>
        <w:t xml:space="preserve"> aplicades a la següent taula es troben detallades a </w:t>
      </w:r>
      <w:r w:rsidR="004434C0" w:rsidRPr="00C32830">
        <w:rPr>
          <w:rFonts w:ascii="Arial" w:hAnsi="Arial" w:cs="Arial"/>
          <w:color w:val="000361"/>
          <w:sz w:val="20"/>
          <w:szCs w:val="20"/>
          <w:u w:val="single"/>
        </w:rPr>
        <w:t xml:space="preserve">l’annex </w:t>
      </w:r>
      <w:r w:rsidR="00A12F82">
        <w:rPr>
          <w:rFonts w:ascii="Arial" w:hAnsi="Arial" w:cs="Arial"/>
          <w:color w:val="000361"/>
          <w:sz w:val="20"/>
          <w:szCs w:val="20"/>
          <w:u w:val="single"/>
        </w:rPr>
        <w:t>1.</w:t>
      </w:r>
      <w:r w:rsidR="0017266E" w:rsidRPr="00C32830">
        <w:rPr>
          <w:rFonts w:ascii="Arial" w:hAnsi="Arial" w:cs="Arial"/>
          <w:color w:val="000361"/>
          <w:sz w:val="20"/>
          <w:szCs w:val="20"/>
          <w:u w:val="single"/>
        </w:rPr>
        <w:t>3</w:t>
      </w:r>
      <w:r w:rsidR="003F4BB5">
        <w:rPr>
          <w:rFonts w:ascii="Arial" w:hAnsi="Arial" w:cs="Arial"/>
          <w:color w:val="000361"/>
          <w:sz w:val="20"/>
          <w:szCs w:val="20"/>
        </w:rPr>
        <w:t>.</w:t>
      </w:r>
    </w:p>
    <w:p w:rsidR="003F4BB5" w:rsidRDefault="003F4BB5" w:rsidP="00942740">
      <w:pPr>
        <w:jc w:val="both"/>
        <w:rPr>
          <w:rFonts w:ascii="Arial" w:hAnsi="Arial" w:cs="Arial"/>
          <w:color w:val="000361"/>
          <w:sz w:val="20"/>
          <w:szCs w:val="20"/>
        </w:rPr>
      </w:pPr>
    </w:p>
    <w:tbl>
      <w:tblPr>
        <w:tblW w:w="9260" w:type="dxa"/>
        <w:tblCellMar>
          <w:left w:w="70" w:type="dxa"/>
          <w:right w:w="70" w:type="dxa"/>
        </w:tblCellMar>
        <w:tblLook w:val="04A0" w:firstRow="1" w:lastRow="0" w:firstColumn="1" w:lastColumn="0" w:noHBand="0" w:noVBand="1"/>
      </w:tblPr>
      <w:tblGrid>
        <w:gridCol w:w="3435"/>
        <w:gridCol w:w="1165"/>
        <w:gridCol w:w="1165"/>
        <w:gridCol w:w="1165"/>
        <w:gridCol w:w="1165"/>
        <w:gridCol w:w="1165"/>
      </w:tblGrid>
      <w:tr w:rsidR="003F4BB5" w:rsidRPr="006E6195" w:rsidTr="003F4BB5">
        <w:trPr>
          <w:trHeight w:val="320"/>
        </w:trPr>
        <w:tc>
          <w:tcPr>
            <w:tcW w:w="9260" w:type="dxa"/>
            <w:gridSpan w:val="6"/>
            <w:tcBorders>
              <w:top w:val="nil"/>
              <w:left w:val="nil"/>
              <w:bottom w:val="nil"/>
              <w:right w:val="nil"/>
            </w:tcBorders>
            <w:shd w:val="clear" w:color="auto" w:fill="auto"/>
            <w:noWrap/>
            <w:vAlign w:val="bottom"/>
            <w:hideMark/>
          </w:tcPr>
          <w:p w:rsidR="003F4BB5" w:rsidRPr="006E6195" w:rsidRDefault="003F4BB5" w:rsidP="003F4BB5">
            <w:pPr>
              <w:rPr>
                <w:rFonts w:ascii="Arial" w:hAnsi="Arial" w:cs="Arial"/>
                <w:bCs/>
                <w:color w:val="002060"/>
                <w:sz w:val="20"/>
                <w:szCs w:val="20"/>
              </w:rPr>
            </w:pPr>
            <w:r w:rsidRPr="006E6195">
              <w:rPr>
                <w:rFonts w:ascii="Arial" w:hAnsi="Arial" w:cs="Arial"/>
                <w:bCs/>
                <w:color w:val="002060"/>
                <w:sz w:val="20"/>
                <w:szCs w:val="20"/>
              </w:rPr>
              <w:t>Taula 2.</w:t>
            </w:r>
            <w:r w:rsidR="0036789D">
              <w:rPr>
                <w:rFonts w:ascii="Arial" w:hAnsi="Arial" w:cs="Arial"/>
                <w:bCs/>
                <w:color w:val="002060"/>
                <w:sz w:val="20"/>
                <w:szCs w:val="20"/>
              </w:rPr>
              <w:t>8</w:t>
            </w:r>
            <w:r w:rsidRPr="006E6195">
              <w:rPr>
                <w:rFonts w:ascii="Arial" w:hAnsi="Arial" w:cs="Arial"/>
                <w:bCs/>
                <w:color w:val="002060"/>
                <w:sz w:val="20"/>
                <w:szCs w:val="20"/>
              </w:rPr>
              <w:t xml:space="preserve"> - Anàlisi de la rendibilitat de Laboratoris Hipra pels exercicis 2015 al 2019 (en milers d'€)</w:t>
            </w:r>
          </w:p>
        </w:tc>
      </w:tr>
      <w:tr w:rsidR="003F4BB5" w:rsidRPr="006E6195" w:rsidTr="003F4BB5">
        <w:trPr>
          <w:trHeight w:val="320"/>
        </w:trPr>
        <w:tc>
          <w:tcPr>
            <w:tcW w:w="3435" w:type="dxa"/>
            <w:tcBorders>
              <w:top w:val="nil"/>
              <w:left w:val="nil"/>
              <w:bottom w:val="nil"/>
              <w:right w:val="nil"/>
            </w:tcBorders>
            <w:shd w:val="clear" w:color="auto" w:fill="auto"/>
            <w:noWrap/>
            <w:vAlign w:val="bottom"/>
            <w:hideMark/>
          </w:tcPr>
          <w:p w:rsidR="003F4BB5" w:rsidRPr="006E6195" w:rsidRDefault="003F4BB5" w:rsidP="003F4BB5">
            <w:pPr>
              <w:rPr>
                <w:rFonts w:ascii="Arial" w:hAnsi="Arial" w:cs="Arial"/>
                <w:sz w:val="20"/>
                <w:szCs w:val="20"/>
              </w:rPr>
            </w:pPr>
          </w:p>
        </w:tc>
        <w:tc>
          <w:tcPr>
            <w:tcW w:w="1165" w:type="dxa"/>
            <w:tcBorders>
              <w:top w:val="nil"/>
              <w:left w:val="nil"/>
              <w:bottom w:val="nil"/>
              <w:right w:val="nil"/>
            </w:tcBorders>
            <w:shd w:val="clear" w:color="auto" w:fill="auto"/>
            <w:noWrap/>
            <w:vAlign w:val="bottom"/>
            <w:hideMark/>
          </w:tcPr>
          <w:p w:rsidR="003F4BB5" w:rsidRPr="006E6195" w:rsidRDefault="003F4BB5" w:rsidP="003F4BB5">
            <w:pPr>
              <w:rPr>
                <w:rFonts w:ascii="Arial" w:hAnsi="Arial" w:cs="Arial"/>
                <w:sz w:val="20"/>
                <w:szCs w:val="20"/>
              </w:rPr>
            </w:pPr>
          </w:p>
        </w:tc>
        <w:tc>
          <w:tcPr>
            <w:tcW w:w="1165" w:type="dxa"/>
            <w:tcBorders>
              <w:top w:val="nil"/>
              <w:left w:val="nil"/>
              <w:bottom w:val="nil"/>
              <w:right w:val="nil"/>
            </w:tcBorders>
            <w:shd w:val="clear" w:color="auto" w:fill="auto"/>
            <w:noWrap/>
            <w:vAlign w:val="bottom"/>
            <w:hideMark/>
          </w:tcPr>
          <w:p w:rsidR="003F4BB5" w:rsidRPr="006E6195" w:rsidRDefault="003F4BB5" w:rsidP="003F4BB5">
            <w:pPr>
              <w:rPr>
                <w:rFonts w:ascii="Arial" w:hAnsi="Arial" w:cs="Arial"/>
                <w:sz w:val="20"/>
                <w:szCs w:val="20"/>
              </w:rPr>
            </w:pPr>
          </w:p>
        </w:tc>
        <w:tc>
          <w:tcPr>
            <w:tcW w:w="1165" w:type="dxa"/>
            <w:tcBorders>
              <w:top w:val="nil"/>
              <w:left w:val="nil"/>
              <w:bottom w:val="nil"/>
              <w:right w:val="nil"/>
            </w:tcBorders>
            <w:shd w:val="clear" w:color="auto" w:fill="auto"/>
            <w:noWrap/>
            <w:vAlign w:val="bottom"/>
            <w:hideMark/>
          </w:tcPr>
          <w:p w:rsidR="003F4BB5" w:rsidRPr="006E6195" w:rsidRDefault="003F4BB5" w:rsidP="003F4BB5">
            <w:pPr>
              <w:rPr>
                <w:rFonts w:ascii="Arial" w:hAnsi="Arial" w:cs="Arial"/>
                <w:sz w:val="20"/>
                <w:szCs w:val="20"/>
              </w:rPr>
            </w:pPr>
          </w:p>
        </w:tc>
        <w:tc>
          <w:tcPr>
            <w:tcW w:w="1165" w:type="dxa"/>
            <w:tcBorders>
              <w:top w:val="nil"/>
              <w:left w:val="nil"/>
              <w:bottom w:val="nil"/>
              <w:right w:val="nil"/>
            </w:tcBorders>
            <w:shd w:val="clear" w:color="auto" w:fill="auto"/>
            <w:noWrap/>
            <w:vAlign w:val="bottom"/>
            <w:hideMark/>
          </w:tcPr>
          <w:p w:rsidR="003F4BB5" w:rsidRPr="006E6195" w:rsidRDefault="003F4BB5" w:rsidP="003F4BB5">
            <w:pPr>
              <w:rPr>
                <w:rFonts w:ascii="Arial" w:hAnsi="Arial" w:cs="Arial"/>
                <w:sz w:val="20"/>
                <w:szCs w:val="20"/>
              </w:rPr>
            </w:pPr>
          </w:p>
        </w:tc>
        <w:tc>
          <w:tcPr>
            <w:tcW w:w="1165" w:type="dxa"/>
            <w:tcBorders>
              <w:top w:val="nil"/>
              <w:left w:val="nil"/>
              <w:bottom w:val="nil"/>
              <w:right w:val="nil"/>
            </w:tcBorders>
            <w:shd w:val="clear" w:color="auto" w:fill="auto"/>
            <w:noWrap/>
            <w:vAlign w:val="bottom"/>
            <w:hideMark/>
          </w:tcPr>
          <w:p w:rsidR="003F4BB5" w:rsidRPr="006E6195" w:rsidRDefault="003F4BB5" w:rsidP="003F4BB5">
            <w:pPr>
              <w:rPr>
                <w:rFonts w:ascii="Arial" w:hAnsi="Arial" w:cs="Arial"/>
                <w:sz w:val="20"/>
                <w:szCs w:val="20"/>
              </w:rPr>
            </w:pPr>
          </w:p>
        </w:tc>
      </w:tr>
      <w:tr w:rsidR="003F4BB5" w:rsidRPr="006E6195" w:rsidTr="003F4BB5">
        <w:trPr>
          <w:trHeight w:val="320"/>
        </w:trPr>
        <w:tc>
          <w:tcPr>
            <w:tcW w:w="3435" w:type="dxa"/>
            <w:tcBorders>
              <w:top w:val="nil"/>
              <w:left w:val="nil"/>
              <w:bottom w:val="nil"/>
              <w:right w:val="nil"/>
            </w:tcBorders>
            <w:shd w:val="clear" w:color="auto" w:fill="auto"/>
            <w:noWrap/>
            <w:vAlign w:val="bottom"/>
            <w:hideMark/>
          </w:tcPr>
          <w:p w:rsidR="003F4BB5" w:rsidRPr="006E6195" w:rsidRDefault="003F4BB5" w:rsidP="003F4BB5">
            <w:pPr>
              <w:rPr>
                <w:rFonts w:ascii="Arial" w:hAnsi="Arial" w:cs="Arial"/>
                <w:sz w:val="20"/>
                <w:szCs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BB5" w:rsidRPr="006E6195" w:rsidRDefault="003F4BB5" w:rsidP="003F4BB5">
            <w:pPr>
              <w:jc w:val="center"/>
              <w:rPr>
                <w:rFonts w:ascii="Arial" w:hAnsi="Arial" w:cs="Arial"/>
                <w:b/>
                <w:bCs/>
                <w:color w:val="002060"/>
                <w:sz w:val="20"/>
                <w:szCs w:val="20"/>
              </w:rPr>
            </w:pPr>
            <w:r w:rsidRPr="006E6195">
              <w:rPr>
                <w:rFonts w:ascii="Arial" w:hAnsi="Arial" w:cs="Arial"/>
                <w:b/>
                <w:bCs/>
                <w:color w:val="002060"/>
                <w:sz w:val="20"/>
                <w:szCs w:val="20"/>
              </w:rPr>
              <w:t>2019</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3F4BB5" w:rsidRPr="006E6195" w:rsidRDefault="003F4BB5" w:rsidP="003F4BB5">
            <w:pPr>
              <w:jc w:val="center"/>
              <w:rPr>
                <w:rFonts w:ascii="Arial" w:hAnsi="Arial" w:cs="Arial"/>
                <w:b/>
                <w:bCs/>
                <w:color w:val="002060"/>
                <w:sz w:val="20"/>
                <w:szCs w:val="20"/>
              </w:rPr>
            </w:pPr>
            <w:r w:rsidRPr="006E6195">
              <w:rPr>
                <w:rFonts w:ascii="Arial" w:hAnsi="Arial" w:cs="Arial"/>
                <w:b/>
                <w:bCs/>
                <w:color w:val="002060"/>
                <w:sz w:val="20"/>
                <w:szCs w:val="20"/>
              </w:rPr>
              <w:t>2018</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3F4BB5" w:rsidRPr="006E6195" w:rsidRDefault="003F4BB5" w:rsidP="003F4BB5">
            <w:pPr>
              <w:jc w:val="center"/>
              <w:rPr>
                <w:rFonts w:ascii="Arial" w:hAnsi="Arial" w:cs="Arial"/>
                <w:b/>
                <w:bCs/>
                <w:color w:val="002060"/>
                <w:sz w:val="20"/>
                <w:szCs w:val="20"/>
              </w:rPr>
            </w:pPr>
            <w:r w:rsidRPr="006E6195">
              <w:rPr>
                <w:rFonts w:ascii="Arial" w:hAnsi="Arial" w:cs="Arial"/>
                <w:b/>
                <w:bCs/>
                <w:color w:val="002060"/>
                <w:sz w:val="20"/>
                <w:szCs w:val="20"/>
              </w:rPr>
              <w:t>2017</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3F4BB5" w:rsidRPr="006E6195" w:rsidRDefault="003F4BB5" w:rsidP="003F4BB5">
            <w:pPr>
              <w:jc w:val="center"/>
              <w:rPr>
                <w:rFonts w:ascii="Arial" w:hAnsi="Arial" w:cs="Arial"/>
                <w:b/>
                <w:bCs/>
                <w:color w:val="002060"/>
                <w:sz w:val="20"/>
                <w:szCs w:val="20"/>
              </w:rPr>
            </w:pPr>
            <w:r w:rsidRPr="006E6195">
              <w:rPr>
                <w:rFonts w:ascii="Arial" w:hAnsi="Arial" w:cs="Arial"/>
                <w:b/>
                <w:bCs/>
                <w:color w:val="002060"/>
                <w:sz w:val="20"/>
                <w:szCs w:val="20"/>
              </w:rPr>
              <w:t>2016</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3F4BB5" w:rsidRPr="006E6195" w:rsidRDefault="003F4BB5" w:rsidP="003F4BB5">
            <w:pPr>
              <w:jc w:val="center"/>
              <w:rPr>
                <w:rFonts w:ascii="Arial" w:hAnsi="Arial" w:cs="Arial"/>
                <w:b/>
                <w:bCs/>
                <w:color w:val="002060"/>
                <w:sz w:val="20"/>
                <w:szCs w:val="20"/>
              </w:rPr>
            </w:pPr>
            <w:r w:rsidRPr="006E6195">
              <w:rPr>
                <w:rFonts w:ascii="Arial" w:hAnsi="Arial" w:cs="Arial"/>
                <w:b/>
                <w:bCs/>
                <w:color w:val="002060"/>
                <w:sz w:val="20"/>
                <w:szCs w:val="20"/>
              </w:rPr>
              <w:t>2015</w:t>
            </w:r>
          </w:p>
        </w:tc>
      </w:tr>
      <w:tr w:rsidR="003F4BB5" w:rsidRPr="006E6195" w:rsidTr="003F4BB5">
        <w:trPr>
          <w:trHeight w:val="320"/>
        </w:trPr>
        <w:tc>
          <w:tcPr>
            <w:tcW w:w="3435"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3F4BB5" w:rsidRPr="006E6195" w:rsidRDefault="003F4BB5" w:rsidP="003F4BB5">
            <w:pPr>
              <w:rPr>
                <w:rFonts w:ascii="Arial" w:hAnsi="Arial" w:cs="Arial"/>
                <w:b/>
                <w:bCs/>
                <w:color w:val="002060"/>
                <w:sz w:val="20"/>
                <w:szCs w:val="20"/>
              </w:rPr>
            </w:pPr>
            <w:r w:rsidRPr="006E6195">
              <w:rPr>
                <w:rFonts w:ascii="Arial" w:hAnsi="Arial" w:cs="Arial"/>
                <w:b/>
                <w:bCs/>
                <w:color w:val="002060"/>
                <w:sz w:val="20"/>
                <w:szCs w:val="20"/>
              </w:rPr>
              <w:t>Rendibilitat econòmica</w:t>
            </w:r>
          </w:p>
        </w:tc>
        <w:tc>
          <w:tcPr>
            <w:tcW w:w="1165" w:type="dxa"/>
            <w:tcBorders>
              <w:top w:val="nil"/>
              <w:left w:val="nil"/>
              <w:bottom w:val="single" w:sz="4" w:space="0" w:color="auto"/>
              <w:right w:val="single" w:sz="4" w:space="0" w:color="auto"/>
            </w:tcBorders>
            <w:shd w:val="clear" w:color="000000" w:fill="E7E6E6"/>
            <w:noWrap/>
            <w:vAlign w:val="bottom"/>
            <w:hideMark/>
          </w:tcPr>
          <w:p w:rsidR="003F4BB5" w:rsidRPr="006E6195" w:rsidRDefault="003F4BB5" w:rsidP="003F4BB5">
            <w:pPr>
              <w:jc w:val="right"/>
              <w:rPr>
                <w:rFonts w:ascii="Arial" w:hAnsi="Arial" w:cs="Arial"/>
                <w:b/>
                <w:bCs/>
                <w:color w:val="002060"/>
                <w:sz w:val="20"/>
                <w:szCs w:val="20"/>
              </w:rPr>
            </w:pPr>
            <w:r w:rsidRPr="006E6195">
              <w:rPr>
                <w:rFonts w:ascii="Arial" w:hAnsi="Arial" w:cs="Arial"/>
                <w:b/>
                <w:bCs/>
                <w:color w:val="002060"/>
                <w:sz w:val="20"/>
                <w:szCs w:val="20"/>
              </w:rPr>
              <w:t>14,33%</w:t>
            </w:r>
          </w:p>
        </w:tc>
        <w:tc>
          <w:tcPr>
            <w:tcW w:w="1165" w:type="dxa"/>
            <w:tcBorders>
              <w:top w:val="nil"/>
              <w:left w:val="nil"/>
              <w:bottom w:val="single" w:sz="4" w:space="0" w:color="auto"/>
              <w:right w:val="single" w:sz="4" w:space="0" w:color="auto"/>
            </w:tcBorders>
            <w:shd w:val="clear" w:color="000000" w:fill="E7E6E6"/>
            <w:noWrap/>
            <w:vAlign w:val="bottom"/>
            <w:hideMark/>
          </w:tcPr>
          <w:p w:rsidR="003F4BB5" w:rsidRPr="006E6195" w:rsidRDefault="003F4BB5" w:rsidP="003F4BB5">
            <w:pPr>
              <w:jc w:val="right"/>
              <w:rPr>
                <w:rFonts w:ascii="Arial" w:hAnsi="Arial" w:cs="Arial"/>
                <w:b/>
                <w:bCs/>
                <w:color w:val="002060"/>
                <w:sz w:val="20"/>
                <w:szCs w:val="20"/>
              </w:rPr>
            </w:pPr>
            <w:r w:rsidRPr="006E6195">
              <w:rPr>
                <w:rFonts w:ascii="Arial" w:hAnsi="Arial" w:cs="Arial"/>
                <w:b/>
                <w:bCs/>
                <w:color w:val="002060"/>
                <w:sz w:val="20"/>
                <w:szCs w:val="20"/>
              </w:rPr>
              <w:t>15,34%</w:t>
            </w:r>
          </w:p>
        </w:tc>
        <w:tc>
          <w:tcPr>
            <w:tcW w:w="1165" w:type="dxa"/>
            <w:tcBorders>
              <w:top w:val="nil"/>
              <w:left w:val="nil"/>
              <w:bottom w:val="single" w:sz="4" w:space="0" w:color="auto"/>
              <w:right w:val="single" w:sz="4" w:space="0" w:color="auto"/>
            </w:tcBorders>
            <w:shd w:val="clear" w:color="000000" w:fill="E7E6E6"/>
            <w:noWrap/>
            <w:vAlign w:val="bottom"/>
            <w:hideMark/>
          </w:tcPr>
          <w:p w:rsidR="003F4BB5" w:rsidRPr="006E6195" w:rsidRDefault="003F4BB5" w:rsidP="003F4BB5">
            <w:pPr>
              <w:jc w:val="right"/>
              <w:rPr>
                <w:rFonts w:ascii="Arial" w:hAnsi="Arial" w:cs="Arial"/>
                <w:b/>
                <w:bCs/>
                <w:color w:val="002060"/>
                <w:sz w:val="20"/>
                <w:szCs w:val="20"/>
              </w:rPr>
            </w:pPr>
            <w:r w:rsidRPr="006E6195">
              <w:rPr>
                <w:rFonts w:ascii="Arial" w:hAnsi="Arial" w:cs="Arial"/>
                <w:b/>
                <w:bCs/>
                <w:color w:val="002060"/>
                <w:sz w:val="20"/>
                <w:szCs w:val="20"/>
              </w:rPr>
              <w:t>17,90%</w:t>
            </w:r>
          </w:p>
        </w:tc>
        <w:tc>
          <w:tcPr>
            <w:tcW w:w="1165" w:type="dxa"/>
            <w:tcBorders>
              <w:top w:val="nil"/>
              <w:left w:val="nil"/>
              <w:bottom w:val="single" w:sz="4" w:space="0" w:color="auto"/>
              <w:right w:val="single" w:sz="4" w:space="0" w:color="auto"/>
            </w:tcBorders>
            <w:shd w:val="clear" w:color="000000" w:fill="E7E6E6"/>
            <w:noWrap/>
            <w:vAlign w:val="bottom"/>
            <w:hideMark/>
          </w:tcPr>
          <w:p w:rsidR="003F4BB5" w:rsidRPr="006E6195" w:rsidRDefault="003F4BB5" w:rsidP="003F4BB5">
            <w:pPr>
              <w:jc w:val="right"/>
              <w:rPr>
                <w:rFonts w:ascii="Arial" w:hAnsi="Arial" w:cs="Arial"/>
                <w:b/>
                <w:bCs/>
                <w:color w:val="002060"/>
                <w:sz w:val="20"/>
                <w:szCs w:val="20"/>
              </w:rPr>
            </w:pPr>
            <w:r w:rsidRPr="006E6195">
              <w:rPr>
                <w:rFonts w:ascii="Arial" w:hAnsi="Arial" w:cs="Arial"/>
                <w:b/>
                <w:bCs/>
                <w:color w:val="002060"/>
                <w:sz w:val="20"/>
                <w:szCs w:val="20"/>
              </w:rPr>
              <w:t>16,22%</w:t>
            </w:r>
          </w:p>
        </w:tc>
        <w:tc>
          <w:tcPr>
            <w:tcW w:w="1165" w:type="dxa"/>
            <w:tcBorders>
              <w:top w:val="nil"/>
              <w:left w:val="nil"/>
              <w:bottom w:val="single" w:sz="4" w:space="0" w:color="auto"/>
              <w:right w:val="single" w:sz="4" w:space="0" w:color="auto"/>
            </w:tcBorders>
            <w:shd w:val="clear" w:color="000000" w:fill="E7E6E6"/>
            <w:noWrap/>
            <w:vAlign w:val="bottom"/>
            <w:hideMark/>
          </w:tcPr>
          <w:p w:rsidR="003F4BB5" w:rsidRPr="006E6195" w:rsidRDefault="003F4BB5" w:rsidP="003F4BB5">
            <w:pPr>
              <w:jc w:val="right"/>
              <w:rPr>
                <w:rFonts w:ascii="Arial" w:hAnsi="Arial" w:cs="Arial"/>
                <w:b/>
                <w:bCs/>
                <w:color w:val="002060"/>
                <w:sz w:val="20"/>
                <w:szCs w:val="20"/>
              </w:rPr>
            </w:pPr>
            <w:r w:rsidRPr="006E6195">
              <w:rPr>
                <w:rFonts w:ascii="Arial" w:hAnsi="Arial" w:cs="Arial"/>
                <w:b/>
                <w:bCs/>
                <w:color w:val="002060"/>
                <w:sz w:val="20"/>
                <w:szCs w:val="20"/>
              </w:rPr>
              <w:t>19,29%</w:t>
            </w:r>
          </w:p>
        </w:tc>
      </w:tr>
      <w:tr w:rsidR="003F4BB5" w:rsidRPr="006E6195" w:rsidTr="003F4BB5">
        <w:trPr>
          <w:trHeight w:val="32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3F4BB5" w:rsidRPr="006E6195" w:rsidRDefault="003F4BB5" w:rsidP="003F4BB5">
            <w:pPr>
              <w:rPr>
                <w:rFonts w:ascii="Arial" w:hAnsi="Arial" w:cs="Arial"/>
                <w:color w:val="002060"/>
                <w:sz w:val="20"/>
                <w:szCs w:val="20"/>
              </w:rPr>
            </w:pPr>
            <w:r w:rsidRPr="006E6195">
              <w:rPr>
                <w:rFonts w:ascii="Arial" w:hAnsi="Arial" w:cs="Arial"/>
                <w:color w:val="002060"/>
                <w:sz w:val="20"/>
                <w:szCs w:val="20"/>
              </w:rPr>
              <w:t>BAII</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47.045</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41.191</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42.884</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35.365</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37.037</w:t>
            </w:r>
          </w:p>
        </w:tc>
      </w:tr>
      <w:tr w:rsidR="003F4BB5" w:rsidRPr="006E6195" w:rsidTr="003F4BB5">
        <w:trPr>
          <w:trHeight w:val="32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3F4BB5" w:rsidRPr="006E6195" w:rsidRDefault="003F4BB5" w:rsidP="003F4BB5">
            <w:pPr>
              <w:rPr>
                <w:rFonts w:ascii="Arial" w:hAnsi="Arial" w:cs="Arial"/>
                <w:color w:val="002060"/>
                <w:sz w:val="20"/>
                <w:szCs w:val="20"/>
              </w:rPr>
            </w:pPr>
            <w:r w:rsidRPr="006E6195">
              <w:rPr>
                <w:rFonts w:ascii="Arial" w:hAnsi="Arial" w:cs="Arial"/>
                <w:color w:val="002060"/>
                <w:sz w:val="20"/>
                <w:szCs w:val="20"/>
              </w:rPr>
              <w:t>Vendes</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277.175</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256.800</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242.815</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222.561</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199.784</w:t>
            </w:r>
          </w:p>
        </w:tc>
      </w:tr>
      <w:tr w:rsidR="003F4BB5" w:rsidRPr="006E6195" w:rsidTr="003F4BB5">
        <w:trPr>
          <w:trHeight w:val="32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3F4BB5" w:rsidRPr="006E6195" w:rsidRDefault="003F4BB5" w:rsidP="003F4BB5">
            <w:pPr>
              <w:rPr>
                <w:rFonts w:ascii="Arial" w:hAnsi="Arial" w:cs="Arial"/>
                <w:color w:val="002060"/>
                <w:sz w:val="20"/>
                <w:szCs w:val="20"/>
              </w:rPr>
            </w:pPr>
            <w:r w:rsidRPr="006E6195">
              <w:rPr>
                <w:rFonts w:ascii="Arial" w:hAnsi="Arial" w:cs="Arial"/>
                <w:color w:val="002060"/>
                <w:sz w:val="20"/>
                <w:szCs w:val="20"/>
              </w:rPr>
              <w:t>Actiu</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328.209</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268.474</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239.638</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217.987</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192.005</w:t>
            </w:r>
          </w:p>
        </w:tc>
      </w:tr>
      <w:tr w:rsidR="00374CA4" w:rsidRPr="006E6195" w:rsidTr="003F4BB5">
        <w:trPr>
          <w:trHeight w:val="32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374CA4" w:rsidRPr="00374CA4" w:rsidRDefault="00374CA4" w:rsidP="00374CA4">
            <w:pPr>
              <w:rPr>
                <w:rFonts w:ascii="Arial" w:hAnsi="Arial" w:cs="Arial"/>
                <w:b/>
                <w:bCs/>
                <w:color w:val="002060"/>
                <w:sz w:val="20"/>
                <w:szCs w:val="20"/>
              </w:rPr>
            </w:pPr>
            <w:r w:rsidRPr="00374CA4">
              <w:rPr>
                <w:rFonts w:ascii="Arial" w:hAnsi="Arial" w:cs="Arial"/>
                <w:b/>
                <w:bCs/>
                <w:color w:val="002060"/>
                <w:sz w:val="20"/>
                <w:szCs w:val="20"/>
              </w:rPr>
              <w:t>Marge</w:t>
            </w:r>
          </w:p>
        </w:tc>
        <w:tc>
          <w:tcPr>
            <w:tcW w:w="1165" w:type="dxa"/>
            <w:tcBorders>
              <w:top w:val="nil"/>
              <w:left w:val="nil"/>
              <w:bottom w:val="single" w:sz="4" w:space="0" w:color="auto"/>
              <w:right w:val="single" w:sz="4" w:space="0" w:color="auto"/>
            </w:tcBorders>
            <w:shd w:val="clear" w:color="auto" w:fill="auto"/>
            <w:noWrap/>
            <w:vAlign w:val="bottom"/>
            <w:hideMark/>
          </w:tcPr>
          <w:p w:rsidR="00374CA4" w:rsidRPr="00374CA4" w:rsidRDefault="00374CA4" w:rsidP="00374CA4">
            <w:pPr>
              <w:jc w:val="right"/>
              <w:rPr>
                <w:rFonts w:ascii="Arial" w:hAnsi="Arial" w:cs="Arial"/>
                <w:b/>
                <w:color w:val="002060"/>
                <w:sz w:val="20"/>
                <w:szCs w:val="20"/>
              </w:rPr>
            </w:pPr>
            <w:r w:rsidRPr="00374CA4">
              <w:rPr>
                <w:rFonts w:ascii="Arial" w:hAnsi="Arial" w:cs="Arial"/>
                <w:b/>
                <w:color w:val="002060"/>
                <w:sz w:val="20"/>
                <w:szCs w:val="20"/>
              </w:rPr>
              <w:t>16,97%</w:t>
            </w:r>
          </w:p>
        </w:tc>
        <w:tc>
          <w:tcPr>
            <w:tcW w:w="1165" w:type="dxa"/>
            <w:tcBorders>
              <w:top w:val="nil"/>
              <w:left w:val="nil"/>
              <w:bottom w:val="single" w:sz="4" w:space="0" w:color="auto"/>
              <w:right w:val="single" w:sz="4" w:space="0" w:color="auto"/>
            </w:tcBorders>
            <w:shd w:val="clear" w:color="auto" w:fill="auto"/>
            <w:noWrap/>
            <w:vAlign w:val="bottom"/>
            <w:hideMark/>
          </w:tcPr>
          <w:p w:rsidR="00374CA4" w:rsidRPr="00374CA4" w:rsidRDefault="00374CA4" w:rsidP="00374CA4">
            <w:pPr>
              <w:jc w:val="right"/>
              <w:rPr>
                <w:rFonts w:ascii="Arial" w:hAnsi="Arial" w:cs="Arial"/>
                <w:b/>
                <w:color w:val="002060"/>
                <w:sz w:val="20"/>
                <w:szCs w:val="20"/>
              </w:rPr>
            </w:pPr>
            <w:r w:rsidRPr="00374CA4">
              <w:rPr>
                <w:rFonts w:ascii="Arial" w:hAnsi="Arial" w:cs="Arial"/>
                <w:b/>
                <w:color w:val="002060"/>
                <w:sz w:val="20"/>
                <w:szCs w:val="20"/>
              </w:rPr>
              <w:t>16,04%</w:t>
            </w:r>
          </w:p>
        </w:tc>
        <w:tc>
          <w:tcPr>
            <w:tcW w:w="1165" w:type="dxa"/>
            <w:tcBorders>
              <w:top w:val="nil"/>
              <w:left w:val="nil"/>
              <w:bottom w:val="single" w:sz="4" w:space="0" w:color="auto"/>
              <w:right w:val="single" w:sz="4" w:space="0" w:color="auto"/>
            </w:tcBorders>
            <w:shd w:val="clear" w:color="auto" w:fill="auto"/>
            <w:noWrap/>
            <w:vAlign w:val="bottom"/>
            <w:hideMark/>
          </w:tcPr>
          <w:p w:rsidR="00374CA4" w:rsidRPr="00374CA4" w:rsidRDefault="00374CA4" w:rsidP="00374CA4">
            <w:pPr>
              <w:jc w:val="right"/>
              <w:rPr>
                <w:rFonts w:ascii="Arial" w:hAnsi="Arial" w:cs="Arial"/>
                <w:b/>
                <w:color w:val="002060"/>
                <w:sz w:val="20"/>
                <w:szCs w:val="20"/>
              </w:rPr>
            </w:pPr>
            <w:r w:rsidRPr="00374CA4">
              <w:rPr>
                <w:rFonts w:ascii="Arial" w:hAnsi="Arial" w:cs="Arial"/>
                <w:b/>
                <w:color w:val="002060"/>
                <w:sz w:val="20"/>
                <w:szCs w:val="20"/>
              </w:rPr>
              <w:t>17,66%</w:t>
            </w:r>
          </w:p>
        </w:tc>
        <w:tc>
          <w:tcPr>
            <w:tcW w:w="1165" w:type="dxa"/>
            <w:tcBorders>
              <w:top w:val="nil"/>
              <w:left w:val="nil"/>
              <w:bottom w:val="single" w:sz="4" w:space="0" w:color="auto"/>
              <w:right w:val="single" w:sz="4" w:space="0" w:color="auto"/>
            </w:tcBorders>
            <w:shd w:val="clear" w:color="auto" w:fill="auto"/>
            <w:noWrap/>
            <w:vAlign w:val="bottom"/>
            <w:hideMark/>
          </w:tcPr>
          <w:p w:rsidR="00374CA4" w:rsidRPr="00374CA4" w:rsidRDefault="00374CA4" w:rsidP="00374CA4">
            <w:pPr>
              <w:jc w:val="right"/>
              <w:rPr>
                <w:rFonts w:ascii="Arial" w:hAnsi="Arial" w:cs="Arial"/>
                <w:b/>
                <w:color w:val="002060"/>
                <w:sz w:val="20"/>
                <w:szCs w:val="20"/>
              </w:rPr>
            </w:pPr>
            <w:r w:rsidRPr="00374CA4">
              <w:rPr>
                <w:rFonts w:ascii="Arial" w:hAnsi="Arial" w:cs="Arial"/>
                <w:b/>
                <w:color w:val="002060"/>
                <w:sz w:val="20"/>
                <w:szCs w:val="20"/>
              </w:rPr>
              <w:t>15,89%</w:t>
            </w:r>
          </w:p>
        </w:tc>
        <w:tc>
          <w:tcPr>
            <w:tcW w:w="1165" w:type="dxa"/>
            <w:tcBorders>
              <w:top w:val="nil"/>
              <w:left w:val="nil"/>
              <w:bottom w:val="single" w:sz="4" w:space="0" w:color="auto"/>
              <w:right w:val="single" w:sz="4" w:space="0" w:color="auto"/>
            </w:tcBorders>
            <w:shd w:val="clear" w:color="auto" w:fill="auto"/>
            <w:noWrap/>
            <w:vAlign w:val="bottom"/>
            <w:hideMark/>
          </w:tcPr>
          <w:p w:rsidR="00374CA4" w:rsidRPr="00374CA4" w:rsidRDefault="00374CA4" w:rsidP="00374CA4">
            <w:pPr>
              <w:jc w:val="right"/>
              <w:rPr>
                <w:rFonts w:ascii="Arial" w:hAnsi="Arial" w:cs="Arial"/>
                <w:b/>
                <w:color w:val="002060"/>
                <w:sz w:val="20"/>
                <w:szCs w:val="20"/>
              </w:rPr>
            </w:pPr>
            <w:r w:rsidRPr="00374CA4">
              <w:rPr>
                <w:rFonts w:ascii="Arial" w:hAnsi="Arial" w:cs="Arial"/>
                <w:b/>
                <w:color w:val="002060"/>
                <w:sz w:val="20"/>
                <w:szCs w:val="20"/>
              </w:rPr>
              <w:t>18,54%</w:t>
            </w:r>
          </w:p>
        </w:tc>
      </w:tr>
      <w:tr w:rsidR="003F4BB5" w:rsidRPr="006E6195" w:rsidTr="003F4BB5">
        <w:trPr>
          <w:trHeight w:val="32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3F4BB5" w:rsidRPr="006E6195" w:rsidRDefault="003F4BB5" w:rsidP="003F4BB5">
            <w:pPr>
              <w:rPr>
                <w:rFonts w:ascii="Arial" w:hAnsi="Arial" w:cs="Arial"/>
                <w:b/>
                <w:bCs/>
                <w:color w:val="002060"/>
                <w:sz w:val="20"/>
                <w:szCs w:val="20"/>
              </w:rPr>
            </w:pPr>
            <w:r w:rsidRPr="006E6195">
              <w:rPr>
                <w:rFonts w:ascii="Arial" w:hAnsi="Arial" w:cs="Arial"/>
                <w:b/>
                <w:bCs/>
                <w:color w:val="002060"/>
                <w:sz w:val="20"/>
                <w:szCs w:val="20"/>
              </w:rPr>
              <w:t>Rotació de l'actiu</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b/>
                <w:color w:val="002060"/>
                <w:sz w:val="20"/>
                <w:szCs w:val="20"/>
              </w:rPr>
            </w:pPr>
            <w:r w:rsidRPr="006E6195">
              <w:rPr>
                <w:rFonts w:ascii="Arial" w:hAnsi="Arial" w:cs="Arial"/>
                <w:b/>
                <w:color w:val="002060"/>
                <w:sz w:val="20"/>
                <w:szCs w:val="20"/>
              </w:rPr>
              <w:t>0,84</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b/>
                <w:color w:val="002060"/>
                <w:sz w:val="20"/>
                <w:szCs w:val="20"/>
              </w:rPr>
            </w:pPr>
            <w:r w:rsidRPr="006E6195">
              <w:rPr>
                <w:rFonts w:ascii="Arial" w:hAnsi="Arial" w:cs="Arial"/>
                <w:b/>
                <w:color w:val="002060"/>
                <w:sz w:val="20"/>
                <w:szCs w:val="20"/>
              </w:rPr>
              <w:t>0,96</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b/>
                <w:color w:val="002060"/>
                <w:sz w:val="20"/>
                <w:szCs w:val="20"/>
              </w:rPr>
            </w:pPr>
            <w:r w:rsidRPr="006E6195">
              <w:rPr>
                <w:rFonts w:ascii="Arial" w:hAnsi="Arial" w:cs="Arial"/>
                <w:b/>
                <w:color w:val="002060"/>
                <w:sz w:val="20"/>
                <w:szCs w:val="20"/>
              </w:rPr>
              <w:t>1,01</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b/>
                <w:color w:val="002060"/>
                <w:sz w:val="20"/>
                <w:szCs w:val="20"/>
              </w:rPr>
            </w:pPr>
            <w:r w:rsidRPr="006E6195">
              <w:rPr>
                <w:rFonts w:ascii="Arial" w:hAnsi="Arial" w:cs="Arial"/>
                <w:b/>
                <w:color w:val="002060"/>
                <w:sz w:val="20"/>
                <w:szCs w:val="20"/>
              </w:rPr>
              <w:t>1,02</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b/>
                <w:color w:val="002060"/>
                <w:sz w:val="20"/>
                <w:szCs w:val="20"/>
              </w:rPr>
            </w:pPr>
            <w:r w:rsidRPr="006E6195">
              <w:rPr>
                <w:rFonts w:ascii="Arial" w:hAnsi="Arial" w:cs="Arial"/>
                <w:b/>
                <w:color w:val="002060"/>
                <w:sz w:val="20"/>
                <w:szCs w:val="20"/>
              </w:rPr>
              <w:t>1,04</w:t>
            </w:r>
          </w:p>
        </w:tc>
      </w:tr>
      <w:tr w:rsidR="003F4BB5" w:rsidRPr="006E6195" w:rsidTr="003F4BB5">
        <w:trPr>
          <w:trHeight w:val="320"/>
        </w:trPr>
        <w:tc>
          <w:tcPr>
            <w:tcW w:w="3435" w:type="dxa"/>
            <w:tcBorders>
              <w:top w:val="nil"/>
              <w:left w:val="single" w:sz="4" w:space="0" w:color="auto"/>
              <w:bottom w:val="single" w:sz="4" w:space="0" w:color="auto"/>
              <w:right w:val="single" w:sz="4" w:space="0" w:color="auto"/>
            </w:tcBorders>
            <w:shd w:val="clear" w:color="000000" w:fill="E7E6E6"/>
            <w:noWrap/>
            <w:vAlign w:val="bottom"/>
            <w:hideMark/>
          </w:tcPr>
          <w:p w:rsidR="003F4BB5" w:rsidRPr="006E6195" w:rsidRDefault="003F4BB5" w:rsidP="003F4BB5">
            <w:pPr>
              <w:rPr>
                <w:rFonts w:ascii="Arial" w:hAnsi="Arial" w:cs="Arial"/>
                <w:b/>
                <w:bCs/>
                <w:color w:val="002060"/>
                <w:sz w:val="20"/>
                <w:szCs w:val="20"/>
              </w:rPr>
            </w:pPr>
            <w:r w:rsidRPr="006E6195">
              <w:rPr>
                <w:rFonts w:ascii="Arial" w:hAnsi="Arial" w:cs="Arial"/>
                <w:b/>
                <w:bCs/>
                <w:color w:val="002060"/>
                <w:sz w:val="20"/>
                <w:szCs w:val="20"/>
              </w:rPr>
              <w:t>Rendibilitat financera</w:t>
            </w:r>
          </w:p>
        </w:tc>
        <w:tc>
          <w:tcPr>
            <w:tcW w:w="1165" w:type="dxa"/>
            <w:tcBorders>
              <w:top w:val="nil"/>
              <w:left w:val="nil"/>
              <w:bottom w:val="single" w:sz="4" w:space="0" w:color="auto"/>
              <w:right w:val="single" w:sz="4" w:space="0" w:color="auto"/>
            </w:tcBorders>
            <w:shd w:val="clear" w:color="000000" w:fill="E7E6E6"/>
            <w:noWrap/>
            <w:vAlign w:val="bottom"/>
            <w:hideMark/>
          </w:tcPr>
          <w:p w:rsidR="003F4BB5" w:rsidRPr="006E6195" w:rsidRDefault="003F4BB5" w:rsidP="003F4BB5">
            <w:pPr>
              <w:jc w:val="right"/>
              <w:rPr>
                <w:rFonts w:ascii="Arial" w:hAnsi="Arial" w:cs="Arial"/>
                <w:b/>
                <w:bCs/>
                <w:color w:val="002060"/>
                <w:sz w:val="20"/>
                <w:szCs w:val="20"/>
              </w:rPr>
            </w:pPr>
            <w:r w:rsidRPr="006E6195">
              <w:rPr>
                <w:rFonts w:ascii="Arial" w:hAnsi="Arial" w:cs="Arial"/>
                <w:b/>
                <w:bCs/>
                <w:color w:val="002060"/>
                <w:sz w:val="20"/>
                <w:szCs w:val="20"/>
              </w:rPr>
              <w:t>16,43%</w:t>
            </w:r>
          </w:p>
        </w:tc>
        <w:tc>
          <w:tcPr>
            <w:tcW w:w="1165" w:type="dxa"/>
            <w:tcBorders>
              <w:top w:val="nil"/>
              <w:left w:val="nil"/>
              <w:bottom w:val="single" w:sz="4" w:space="0" w:color="auto"/>
              <w:right w:val="single" w:sz="4" w:space="0" w:color="auto"/>
            </w:tcBorders>
            <w:shd w:val="clear" w:color="000000" w:fill="E7E6E6"/>
            <w:noWrap/>
            <w:vAlign w:val="bottom"/>
            <w:hideMark/>
          </w:tcPr>
          <w:p w:rsidR="003F4BB5" w:rsidRPr="006E6195" w:rsidRDefault="003F4BB5" w:rsidP="003F4BB5">
            <w:pPr>
              <w:jc w:val="right"/>
              <w:rPr>
                <w:rFonts w:ascii="Arial" w:hAnsi="Arial" w:cs="Arial"/>
                <w:b/>
                <w:bCs/>
                <w:color w:val="002060"/>
                <w:sz w:val="20"/>
                <w:szCs w:val="20"/>
              </w:rPr>
            </w:pPr>
            <w:r w:rsidRPr="006E6195">
              <w:rPr>
                <w:rFonts w:ascii="Arial" w:hAnsi="Arial" w:cs="Arial"/>
                <w:b/>
                <w:bCs/>
                <w:color w:val="002060"/>
                <w:sz w:val="20"/>
                <w:szCs w:val="20"/>
              </w:rPr>
              <w:t>16,52%</w:t>
            </w:r>
          </w:p>
        </w:tc>
        <w:tc>
          <w:tcPr>
            <w:tcW w:w="1165" w:type="dxa"/>
            <w:tcBorders>
              <w:top w:val="nil"/>
              <w:left w:val="nil"/>
              <w:bottom w:val="single" w:sz="4" w:space="0" w:color="auto"/>
              <w:right w:val="single" w:sz="4" w:space="0" w:color="auto"/>
            </w:tcBorders>
            <w:shd w:val="clear" w:color="000000" w:fill="E7E6E6"/>
            <w:noWrap/>
            <w:vAlign w:val="bottom"/>
            <w:hideMark/>
          </w:tcPr>
          <w:p w:rsidR="003F4BB5" w:rsidRPr="006E6195" w:rsidRDefault="003F4BB5" w:rsidP="003F4BB5">
            <w:pPr>
              <w:jc w:val="right"/>
              <w:rPr>
                <w:rFonts w:ascii="Arial" w:hAnsi="Arial" w:cs="Arial"/>
                <w:b/>
                <w:bCs/>
                <w:color w:val="002060"/>
                <w:sz w:val="20"/>
                <w:szCs w:val="20"/>
              </w:rPr>
            </w:pPr>
            <w:r w:rsidRPr="006E6195">
              <w:rPr>
                <w:rFonts w:ascii="Arial" w:hAnsi="Arial" w:cs="Arial"/>
                <w:b/>
                <w:bCs/>
                <w:color w:val="002060"/>
                <w:sz w:val="20"/>
                <w:szCs w:val="20"/>
              </w:rPr>
              <w:t>17,99%</w:t>
            </w:r>
          </w:p>
        </w:tc>
        <w:tc>
          <w:tcPr>
            <w:tcW w:w="1165" w:type="dxa"/>
            <w:tcBorders>
              <w:top w:val="nil"/>
              <w:left w:val="nil"/>
              <w:bottom w:val="single" w:sz="4" w:space="0" w:color="auto"/>
              <w:right w:val="single" w:sz="4" w:space="0" w:color="auto"/>
            </w:tcBorders>
            <w:shd w:val="clear" w:color="000000" w:fill="E7E6E6"/>
            <w:noWrap/>
            <w:vAlign w:val="bottom"/>
            <w:hideMark/>
          </w:tcPr>
          <w:p w:rsidR="003F4BB5" w:rsidRPr="006E6195" w:rsidRDefault="003F4BB5" w:rsidP="003F4BB5">
            <w:pPr>
              <w:jc w:val="right"/>
              <w:rPr>
                <w:rFonts w:ascii="Arial" w:hAnsi="Arial" w:cs="Arial"/>
                <w:b/>
                <w:bCs/>
                <w:color w:val="002060"/>
                <w:sz w:val="20"/>
                <w:szCs w:val="20"/>
              </w:rPr>
            </w:pPr>
            <w:r w:rsidRPr="006E6195">
              <w:rPr>
                <w:rFonts w:ascii="Arial" w:hAnsi="Arial" w:cs="Arial"/>
                <w:b/>
                <w:bCs/>
                <w:color w:val="002060"/>
                <w:sz w:val="20"/>
                <w:szCs w:val="20"/>
              </w:rPr>
              <w:t>17,99%</w:t>
            </w:r>
          </w:p>
        </w:tc>
        <w:tc>
          <w:tcPr>
            <w:tcW w:w="1165" w:type="dxa"/>
            <w:tcBorders>
              <w:top w:val="nil"/>
              <w:left w:val="nil"/>
              <w:bottom w:val="single" w:sz="4" w:space="0" w:color="auto"/>
              <w:right w:val="single" w:sz="4" w:space="0" w:color="auto"/>
            </w:tcBorders>
            <w:shd w:val="clear" w:color="000000" w:fill="E7E6E6"/>
            <w:noWrap/>
            <w:vAlign w:val="bottom"/>
            <w:hideMark/>
          </w:tcPr>
          <w:p w:rsidR="003F4BB5" w:rsidRPr="006E6195" w:rsidRDefault="003F4BB5" w:rsidP="003F4BB5">
            <w:pPr>
              <w:jc w:val="right"/>
              <w:rPr>
                <w:rFonts w:ascii="Arial" w:hAnsi="Arial" w:cs="Arial"/>
                <w:b/>
                <w:bCs/>
                <w:color w:val="002060"/>
                <w:sz w:val="20"/>
                <w:szCs w:val="20"/>
              </w:rPr>
            </w:pPr>
            <w:r w:rsidRPr="006E6195">
              <w:rPr>
                <w:rFonts w:ascii="Arial" w:hAnsi="Arial" w:cs="Arial"/>
                <w:b/>
                <w:bCs/>
                <w:color w:val="002060"/>
                <w:sz w:val="20"/>
                <w:szCs w:val="20"/>
              </w:rPr>
              <w:t>20,66%</w:t>
            </w:r>
          </w:p>
        </w:tc>
      </w:tr>
      <w:tr w:rsidR="003F4BB5" w:rsidRPr="006E6195" w:rsidTr="003F4BB5">
        <w:trPr>
          <w:trHeight w:val="32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3F4BB5" w:rsidRPr="006E6195" w:rsidRDefault="003F4BB5" w:rsidP="003F4BB5">
            <w:pPr>
              <w:rPr>
                <w:rFonts w:ascii="Arial" w:hAnsi="Arial" w:cs="Arial"/>
                <w:color w:val="002060"/>
                <w:sz w:val="20"/>
                <w:szCs w:val="20"/>
              </w:rPr>
            </w:pPr>
            <w:r w:rsidRPr="006E6195">
              <w:rPr>
                <w:rFonts w:ascii="Arial" w:hAnsi="Arial" w:cs="Arial"/>
                <w:color w:val="002060"/>
                <w:sz w:val="20"/>
                <w:szCs w:val="20"/>
              </w:rPr>
              <w:t>BAI</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46.634</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39.791</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40.272</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35.515</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36.457</w:t>
            </w:r>
          </w:p>
        </w:tc>
      </w:tr>
      <w:tr w:rsidR="003F4BB5" w:rsidRPr="006E6195" w:rsidTr="003F4BB5">
        <w:trPr>
          <w:trHeight w:val="32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3F4BB5" w:rsidRPr="006E6195" w:rsidRDefault="003F4BB5" w:rsidP="003F4BB5">
            <w:pPr>
              <w:rPr>
                <w:rFonts w:ascii="Arial" w:hAnsi="Arial" w:cs="Arial"/>
                <w:color w:val="002060"/>
                <w:sz w:val="20"/>
                <w:szCs w:val="20"/>
              </w:rPr>
            </w:pPr>
            <w:r w:rsidRPr="006E6195">
              <w:rPr>
                <w:rFonts w:ascii="Arial" w:hAnsi="Arial" w:cs="Arial"/>
                <w:color w:val="002060"/>
                <w:sz w:val="20"/>
                <w:szCs w:val="20"/>
              </w:rPr>
              <w:t>Patrimoni net</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243.803</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210.588</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185.894</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163.177</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139.920</w:t>
            </w:r>
          </w:p>
        </w:tc>
      </w:tr>
      <w:tr w:rsidR="003F4BB5" w:rsidRPr="006E6195" w:rsidTr="003F4BB5">
        <w:trPr>
          <w:trHeight w:val="32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3F4BB5" w:rsidRPr="006E6195" w:rsidRDefault="003F4BB5" w:rsidP="003F4BB5">
            <w:pPr>
              <w:rPr>
                <w:rFonts w:ascii="Arial" w:hAnsi="Arial" w:cs="Arial"/>
                <w:color w:val="002060"/>
                <w:sz w:val="20"/>
                <w:szCs w:val="20"/>
              </w:rPr>
            </w:pPr>
            <w:r w:rsidRPr="006E6195">
              <w:rPr>
                <w:rFonts w:ascii="Arial" w:hAnsi="Arial" w:cs="Arial"/>
                <w:color w:val="002060"/>
                <w:sz w:val="20"/>
                <w:szCs w:val="20"/>
              </w:rPr>
              <w:t>Benefici</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40.062</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34.795</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33.439</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29.350</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color w:val="002060"/>
                <w:sz w:val="20"/>
                <w:szCs w:val="20"/>
              </w:rPr>
            </w:pPr>
            <w:r w:rsidRPr="006E6195">
              <w:rPr>
                <w:rFonts w:ascii="Arial" w:hAnsi="Arial" w:cs="Arial"/>
                <w:color w:val="002060"/>
                <w:sz w:val="20"/>
                <w:szCs w:val="20"/>
              </w:rPr>
              <w:t>28.912</w:t>
            </w:r>
          </w:p>
        </w:tc>
      </w:tr>
      <w:tr w:rsidR="003F4BB5" w:rsidRPr="006E6195" w:rsidTr="003F4BB5">
        <w:trPr>
          <w:trHeight w:val="32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3F4BB5" w:rsidRPr="006E6195" w:rsidRDefault="003F4BB5" w:rsidP="003F4BB5">
            <w:pPr>
              <w:rPr>
                <w:rFonts w:ascii="Arial" w:hAnsi="Arial" w:cs="Arial"/>
                <w:b/>
                <w:bCs/>
                <w:color w:val="002060"/>
                <w:sz w:val="20"/>
                <w:szCs w:val="20"/>
              </w:rPr>
            </w:pPr>
            <w:r w:rsidRPr="006E6195">
              <w:rPr>
                <w:rFonts w:ascii="Arial" w:hAnsi="Arial" w:cs="Arial"/>
                <w:b/>
                <w:bCs/>
                <w:color w:val="002060"/>
                <w:sz w:val="20"/>
                <w:szCs w:val="20"/>
              </w:rPr>
              <w:t>Palanquejament</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b/>
                <w:color w:val="002060"/>
                <w:sz w:val="20"/>
                <w:szCs w:val="20"/>
              </w:rPr>
            </w:pPr>
            <w:r w:rsidRPr="006E6195">
              <w:rPr>
                <w:rFonts w:ascii="Arial" w:hAnsi="Arial" w:cs="Arial"/>
                <w:b/>
                <w:color w:val="002060"/>
                <w:sz w:val="20"/>
                <w:szCs w:val="20"/>
              </w:rPr>
              <w:t>1,33</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b/>
                <w:color w:val="002060"/>
                <w:sz w:val="20"/>
                <w:szCs w:val="20"/>
              </w:rPr>
            </w:pPr>
            <w:r w:rsidRPr="006E6195">
              <w:rPr>
                <w:rFonts w:ascii="Arial" w:hAnsi="Arial" w:cs="Arial"/>
                <w:b/>
                <w:color w:val="002060"/>
                <w:sz w:val="20"/>
                <w:szCs w:val="20"/>
              </w:rPr>
              <w:t>1,23</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b/>
                <w:color w:val="002060"/>
                <w:sz w:val="20"/>
                <w:szCs w:val="20"/>
              </w:rPr>
            </w:pPr>
            <w:r w:rsidRPr="006E6195">
              <w:rPr>
                <w:rFonts w:ascii="Arial" w:hAnsi="Arial" w:cs="Arial"/>
                <w:b/>
                <w:color w:val="002060"/>
                <w:sz w:val="20"/>
                <w:szCs w:val="20"/>
              </w:rPr>
              <w:t>1,21</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b/>
                <w:color w:val="002060"/>
                <w:sz w:val="20"/>
                <w:szCs w:val="20"/>
              </w:rPr>
            </w:pPr>
            <w:r w:rsidRPr="006E6195">
              <w:rPr>
                <w:rFonts w:ascii="Arial" w:hAnsi="Arial" w:cs="Arial"/>
                <w:b/>
                <w:color w:val="002060"/>
                <w:sz w:val="20"/>
                <w:szCs w:val="20"/>
              </w:rPr>
              <w:t>1,34</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b/>
                <w:color w:val="002060"/>
                <w:sz w:val="20"/>
                <w:szCs w:val="20"/>
              </w:rPr>
            </w:pPr>
            <w:r w:rsidRPr="006E6195">
              <w:rPr>
                <w:rFonts w:ascii="Arial" w:hAnsi="Arial" w:cs="Arial"/>
                <w:b/>
                <w:color w:val="002060"/>
                <w:sz w:val="20"/>
                <w:szCs w:val="20"/>
              </w:rPr>
              <w:t>1,35</w:t>
            </w:r>
          </w:p>
        </w:tc>
      </w:tr>
      <w:tr w:rsidR="003F4BB5" w:rsidRPr="006E6195" w:rsidTr="003F4BB5">
        <w:trPr>
          <w:trHeight w:val="32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3F4BB5" w:rsidRPr="006E6195" w:rsidRDefault="003F4BB5" w:rsidP="003F4BB5">
            <w:pPr>
              <w:rPr>
                <w:rFonts w:ascii="Arial" w:hAnsi="Arial" w:cs="Arial"/>
                <w:b/>
                <w:bCs/>
                <w:color w:val="002060"/>
                <w:sz w:val="20"/>
                <w:szCs w:val="20"/>
              </w:rPr>
            </w:pPr>
            <w:r w:rsidRPr="006E6195">
              <w:rPr>
                <w:rFonts w:ascii="Arial" w:hAnsi="Arial" w:cs="Arial"/>
                <w:b/>
                <w:bCs/>
                <w:color w:val="002060"/>
                <w:sz w:val="20"/>
                <w:szCs w:val="20"/>
              </w:rPr>
              <w:t>Efecte fiscal</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b/>
                <w:color w:val="002060"/>
                <w:sz w:val="20"/>
                <w:szCs w:val="20"/>
              </w:rPr>
            </w:pPr>
            <w:r w:rsidRPr="006E6195">
              <w:rPr>
                <w:rFonts w:ascii="Arial" w:hAnsi="Arial" w:cs="Arial"/>
                <w:b/>
                <w:color w:val="002060"/>
                <w:sz w:val="20"/>
                <w:szCs w:val="20"/>
              </w:rPr>
              <w:t>0,86</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b/>
                <w:color w:val="002060"/>
                <w:sz w:val="20"/>
                <w:szCs w:val="20"/>
              </w:rPr>
            </w:pPr>
            <w:r w:rsidRPr="006E6195">
              <w:rPr>
                <w:rFonts w:ascii="Arial" w:hAnsi="Arial" w:cs="Arial"/>
                <w:b/>
                <w:color w:val="002060"/>
                <w:sz w:val="20"/>
                <w:szCs w:val="20"/>
              </w:rPr>
              <w:t>0,87</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b/>
                <w:color w:val="002060"/>
                <w:sz w:val="20"/>
                <w:szCs w:val="20"/>
              </w:rPr>
            </w:pPr>
            <w:r w:rsidRPr="006E6195">
              <w:rPr>
                <w:rFonts w:ascii="Arial" w:hAnsi="Arial" w:cs="Arial"/>
                <w:b/>
                <w:color w:val="002060"/>
                <w:sz w:val="20"/>
                <w:szCs w:val="20"/>
              </w:rPr>
              <w:t>0,83</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b/>
                <w:color w:val="002060"/>
                <w:sz w:val="20"/>
                <w:szCs w:val="20"/>
              </w:rPr>
            </w:pPr>
            <w:r w:rsidRPr="006E6195">
              <w:rPr>
                <w:rFonts w:ascii="Arial" w:hAnsi="Arial" w:cs="Arial"/>
                <w:b/>
                <w:color w:val="002060"/>
                <w:sz w:val="20"/>
                <w:szCs w:val="20"/>
              </w:rPr>
              <w:t>0,83</w:t>
            </w:r>
          </w:p>
        </w:tc>
        <w:tc>
          <w:tcPr>
            <w:tcW w:w="1165" w:type="dxa"/>
            <w:tcBorders>
              <w:top w:val="nil"/>
              <w:left w:val="nil"/>
              <w:bottom w:val="single" w:sz="4" w:space="0" w:color="auto"/>
              <w:right w:val="single" w:sz="4" w:space="0" w:color="auto"/>
            </w:tcBorders>
            <w:shd w:val="clear" w:color="auto" w:fill="auto"/>
            <w:noWrap/>
            <w:vAlign w:val="bottom"/>
            <w:hideMark/>
          </w:tcPr>
          <w:p w:rsidR="003F4BB5" w:rsidRPr="006E6195" w:rsidRDefault="003F4BB5" w:rsidP="003F4BB5">
            <w:pPr>
              <w:jc w:val="right"/>
              <w:rPr>
                <w:rFonts w:ascii="Arial" w:hAnsi="Arial" w:cs="Arial"/>
                <w:b/>
                <w:color w:val="002060"/>
                <w:sz w:val="20"/>
                <w:szCs w:val="20"/>
              </w:rPr>
            </w:pPr>
            <w:r w:rsidRPr="006E6195">
              <w:rPr>
                <w:rFonts w:ascii="Arial" w:hAnsi="Arial" w:cs="Arial"/>
                <w:b/>
                <w:color w:val="002060"/>
                <w:sz w:val="20"/>
                <w:szCs w:val="20"/>
              </w:rPr>
              <w:t>0,79</w:t>
            </w:r>
          </w:p>
        </w:tc>
      </w:tr>
    </w:tbl>
    <w:p w:rsidR="003F4BB5" w:rsidRDefault="003F4BB5" w:rsidP="00942740">
      <w:pPr>
        <w:jc w:val="both"/>
        <w:rPr>
          <w:rFonts w:ascii="Arial" w:hAnsi="Arial" w:cs="Arial"/>
          <w:color w:val="000361"/>
          <w:sz w:val="16"/>
          <w:szCs w:val="16"/>
        </w:rPr>
      </w:pPr>
    </w:p>
    <w:p w:rsidR="005F180C" w:rsidRPr="00A12F82" w:rsidRDefault="005F180C" w:rsidP="00942740">
      <w:pPr>
        <w:jc w:val="both"/>
        <w:rPr>
          <w:rFonts w:ascii="Arial" w:hAnsi="Arial" w:cs="Arial"/>
          <w:color w:val="000361"/>
          <w:sz w:val="14"/>
          <w:szCs w:val="14"/>
        </w:rPr>
      </w:pPr>
      <w:r w:rsidRPr="00A12F82">
        <w:rPr>
          <w:rFonts w:ascii="Arial" w:hAnsi="Arial" w:cs="Arial"/>
          <w:color w:val="000361"/>
          <w:sz w:val="14"/>
          <w:szCs w:val="14"/>
        </w:rPr>
        <w:lastRenderedPageBreak/>
        <w:t xml:space="preserve">Font: Elaboració pròpia amb informació obtinguda dels comptes anuals de Laboratoris Hipra i càlculs realitzats segons les </w:t>
      </w:r>
      <w:r w:rsidR="00DF620D" w:rsidRPr="00A12F82">
        <w:rPr>
          <w:rFonts w:ascii="Arial" w:hAnsi="Arial" w:cs="Arial"/>
          <w:color w:val="000361"/>
          <w:sz w:val="14"/>
          <w:szCs w:val="14"/>
        </w:rPr>
        <w:t>fórmules</w:t>
      </w:r>
      <w:r w:rsidRPr="00A12F82">
        <w:rPr>
          <w:rFonts w:ascii="Arial" w:hAnsi="Arial" w:cs="Arial"/>
          <w:color w:val="000361"/>
          <w:sz w:val="14"/>
          <w:szCs w:val="14"/>
        </w:rPr>
        <w:t xml:space="preserve"> consultables a l’annex </w:t>
      </w:r>
      <w:r w:rsidR="00A12F82">
        <w:rPr>
          <w:rFonts w:ascii="Arial" w:hAnsi="Arial" w:cs="Arial"/>
          <w:color w:val="000361"/>
          <w:sz w:val="14"/>
          <w:szCs w:val="14"/>
        </w:rPr>
        <w:t>1.</w:t>
      </w:r>
      <w:r w:rsidR="0017266E" w:rsidRPr="00A12F82">
        <w:rPr>
          <w:rFonts w:ascii="Arial" w:hAnsi="Arial" w:cs="Arial"/>
          <w:color w:val="000361"/>
          <w:sz w:val="14"/>
          <w:szCs w:val="14"/>
        </w:rPr>
        <w:t>3</w:t>
      </w:r>
      <w:r w:rsidRPr="00A12F82">
        <w:rPr>
          <w:rFonts w:ascii="Arial" w:hAnsi="Arial" w:cs="Arial"/>
          <w:color w:val="000361"/>
          <w:sz w:val="14"/>
          <w:szCs w:val="14"/>
        </w:rPr>
        <w:t>.</w:t>
      </w:r>
    </w:p>
    <w:p w:rsidR="00EC34A1" w:rsidRPr="00942740" w:rsidRDefault="00EC34A1" w:rsidP="002D48FA">
      <w:pPr>
        <w:jc w:val="both"/>
        <w:rPr>
          <w:rFonts w:ascii="Arial" w:hAnsi="Arial" w:cs="Arial"/>
          <w:color w:val="000361"/>
          <w:sz w:val="20"/>
          <w:szCs w:val="20"/>
        </w:rPr>
      </w:pPr>
    </w:p>
    <w:p w:rsidR="0064196D" w:rsidRDefault="00AA4A17" w:rsidP="002D48FA">
      <w:pPr>
        <w:jc w:val="both"/>
        <w:rPr>
          <w:rFonts w:ascii="Arial" w:hAnsi="Arial" w:cs="Arial"/>
          <w:color w:val="000361"/>
          <w:sz w:val="20"/>
          <w:szCs w:val="20"/>
        </w:rPr>
      </w:pPr>
      <w:r w:rsidRPr="00AA4A17">
        <w:rPr>
          <w:rFonts w:ascii="Arial" w:hAnsi="Arial" w:cs="Arial"/>
          <w:color w:val="000361"/>
          <w:sz w:val="20"/>
          <w:szCs w:val="20"/>
        </w:rPr>
        <w:t>La rendibilitat econòmica de Laboratoris Hipra</w:t>
      </w:r>
      <w:r>
        <w:rPr>
          <w:rFonts w:ascii="Arial" w:hAnsi="Arial" w:cs="Arial"/>
          <w:color w:val="000361"/>
          <w:sz w:val="20"/>
          <w:szCs w:val="20"/>
        </w:rPr>
        <w:t xml:space="preserve"> ha anat minvant des del 19,29% obtinguda l’any 2015 fins al 14,33% l’any 2019, a excepció del 2017 que fa un repunt a l’alça. El principal motiu d’aquesta pèrdua de rendibilitat es deu a que els recursos emprats (actiu) han augmentat proporcionalment amb més intensitat que les vendes.</w:t>
      </w:r>
    </w:p>
    <w:p w:rsidR="0064196D" w:rsidRDefault="0064196D" w:rsidP="002D48FA">
      <w:pPr>
        <w:jc w:val="both"/>
        <w:rPr>
          <w:rFonts w:ascii="Arial" w:hAnsi="Arial" w:cs="Arial"/>
          <w:color w:val="000361"/>
          <w:sz w:val="20"/>
          <w:szCs w:val="20"/>
        </w:rPr>
      </w:pPr>
    </w:p>
    <w:p w:rsidR="005B11DD" w:rsidRPr="00AA4A17" w:rsidRDefault="00AA4A17" w:rsidP="002D48FA">
      <w:pPr>
        <w:jc w:val="both"/>
        <w:rPr>
          <w:rFonts w:ascii="Arial" w:hAnsi="Arial" w:cs="Arial"/>
          <w:color w:val="000361"/>
          <w:sz w:val="20"/>
          <w:szCs w:val="20"/>
        </w:rPr>
      </w:pPr>
      <w:r>
        <w:rPr>
          <w:rFonts w:ascii="Arial" w:hAnsi="Arial" w:cs="Arial"/>
          <w:color w:val="000361"/>
          <w:sz w:val="20"/>
          <w:szCs w:val="20"/>
        </w:rPr>
        <w:t xml:space="preserve"> El marge sobre les vendes ha anat oscil·lant entre el </w:t>
      </w:r>
      <w:r w:rsidR="00374CA4">
        <w:rPr>
          <w:rFonts w:ascii="Arial" w:hAnsi="Arial" w:cs="Arial"/>
          <w:color w:val="000361"/>
          <w:sz w:val="20"/>
          <w:szCs w:val="20"/>
        </w:rPr>
        <w:t>16</w:t>
      </w:r>
      <w:r>
        <w:rPr>
          <w:rFonts w:ascii="Arial" w:hAnsi="Arial" w:cs="Arial"/>
          <w:color w:val="000361"/>
          <w:sz w:val="20"/>
          <w:szCs w:val="20"/>
        </w:rPr>
        <w:t xml:space="preserve">% i el </w:t>
      </w:r>
      <w:r w:rsidR="00374CA4">
        <w:rPr>
          <w:rFonts w:ascii="Arial" w:hAnsi="Arial" w:cs="Arial"/>
          <w:color w:val="000361"/>
          <w:sz w:val="20"/>
          <w:szCs w:val="20"/>
        </w:rPr>
        <w:t>19</w:t>
      </w:r>
      <w:r>
        <w:rPr>
          <w:rFonts w:ascii="Arial" w:hAnsi="Arial" w:cs="Arial"/>
          <w:color w:val="000361"/>
          <w:sz w:val="20"/>
          <w:szCs w:val="20"/>
        </w:rPr>
        <w:t xml:space="preserve">% </w:t>
      </w:r>
      <w:r w:rsidR="00C54AC3">
        <w:rPr>
          <w:rFonts w:ascii="Arial" w:hAnsi="Arial" w:cs="Arial"/>
          <w:color w:val="000361"/>
          <w:sz w:val="20"/>
          <w:szCs w:val="20"/>
        </w:rPr>
        <w:t>sense dibuixar una</w:t>
      </w:r>
      <w:r w:rsidR="0064196D">
        <w:rPr>
          <w:rFonts w:ascii="Arial" w:hAnsi="Arial" w:cs="Arial"/>
          <w:color w:val="000361"/>
          <w:sz w:val="20"/>
          <w:szCs w:val="20"/>
        </w:rPr>
        <w:t xml:space="preserve"> clara</w:t>
      </w:r>
      <w:r w:rsidR="00C54AC3">
        <w:rPr>
          <w:rFonts w:ascii="Arial" w:hAnsi="Arial" w:cs="Arial"/>
          <w:color w:val="000361"/>
          <w:sz w:val="20"/>
          <w:szCs w:val="20"/>
        </w:rPr>
        <w:t xml:space="preserve"> tendència a l’alça o a la baixa</w:t>
      </w:r>
      <w:r w:rsidR="0064196D">
        <w:rPr>
          <w:rFonts w:ascii="Arial" w:hAnsi="Arial" w:cs="Arial"/>
          <w:color w:val="000361"/>
          <w:sz w:val="20"/>
          <w:szCs w:val="20"/>
        </w:rPr>
        <w:t>.</w:t>
      </w:r>
      <w:r w:rsidR="00C54AC3">
        <w:rPr>
          <w:rFonts w:ascii="Arial" w:hAnsi="Arial" w:cs="Arial"/>
          <w:color w:val="000361"/>
          <w:sz w:val="20"/>
          <w:szCs w:val="20"/>
        </w:rPr>
        <w:t xml:space="preserve"> </w:t>
      </w:r>
      <w:r w:rsidR="0064196D">
        <w:rPr>
          <w:rFonts w:ascii="Arial" w:hAnsi="Arial" w:cs="Arial"/>
          <w:color w:val="000361"/>
          <w:sz w:val="20"/>
          <w:szCs w:val="20"/>
        </w:rPr>
        <w:t>A més,</w:t>
      </w:r>
      <w:r w:rsidR="00C54AC3">
        <w:rPr>
          <w:rFonts w:ascii="Arial" w:hAnsi="Arial" w:cs="Arial"/>
          <w:color w:val="000361"/>
          <w:sz w:val="20"/>
          <w:szCs w:val="20"/>
        </w:rPr>
        <w:t xml:space="preserve"> no es pot concloure que amb l’ajust dels marges per mitjà d’una disminució de preus vingui acompanyat </w:t>
      </w:r>
      <w:r w:rsidR="00DF620D">
        <w:rPr>
          <w:rFonts w:ascii="Arial" w:hAnsi="Arial" w:cs="Arial"/>
          <w:color w:val="000361"/>
          <w:sz w:val="20"/>
          <w:szCs w:val="20"/>
        </w:rPr>
        <w:t>necessàriament</w:t>
      </w:r>
      <w:r w:rsidR="00C54AC3">
        <w:rPr>
          <w:rFonts w:ascii="Arial" w:hAnsi="Arial" w:cs="Arial"/>
          <w:color w:val="000361"/>
          <w:sz w:val="20"/>
          <w:szCs w:val="20"/>
        </w:rPr>
        <w:t xml:space="preserve"> d’un augment de les vendes</w:t>
      </w:r>
      <w:r w:rsidR="00F01CEB">
        <w:rPr>
          <w:rFonts w:ascii="Arial" w:hAnsi="Arial" w:cs="Arial"/>
          <w:color w:val="000361"/>
          <w:sz w:val="20"/>
          <w:szCs w:val="20"/>
        </w:rPr>
        <w:t xml:space="preserve"> per mitjà </w:t>
      </w:r>
      <w:r w:rsidR="008E02F6">
        <w:rPr>
          <w:rFonts w:ascii="Arial" w:hAnsi="Arial" w:cs="Arial"/>
          <w:color w:val="000361"/>
          <w:sz w:val="20"/>
          <w:szCs w:val="20"/>
        </w:rPr>
        <w:t>dels valors obtinguts amb</w:t>
      </w:r>
      <w:r w:rsidR="00F01CEB">
        <w:rPr>
          <w:rFonts w:ascii="Arial" w:hAnsi="Arial" w:cs="Arial"/>
          <w:color w:val="000361"/>
          <w:sz w:val="20"/>
          <w:szCs w:val="20"/>
        </w:rPr>
        <w:t xml:space="preserve"> rotació</w:t>
      </w:r>
      <w:r w:rsidR="008E02F6">
        <w:rPr>
          <w:rFonts w:ascii="Arial" w:hAnsi="Arial" w:cs="Arial"/>
          <w:color w:val="000361"/>
          <w:sz w:val="20"/>
          <w:szCs w:val="20"/>
        </w:rPr>
        <w:t xml:space="preserve"> de l’actiu</w:t>
      </w:r>
      <w:r w:rsidR="00C54AC3">
        <w:rPr>
          <w:rFonts w:ascii="Arial" w:hAnsi="Arial" w:cs="Arial"/>
          <w:color w:val="000361"/>
          <w:sz w:val="20"/>
          <w:szCs w:val="20"/>
        </w:rPr>
        <w:t xml:space="preserve">. Desconeixem exactament com evoluciona el llançament de productes innovadors fruït de la </w:t>
      </w:r>
      <w:r w:rsidR="0036789D">
        <w:rPr>
          <w:rFonts w:ascii="Arial" w:hAnsi="Arial" w:cs="Arial"/>
          <w:color w:val="000361"/>
          <w:sz w:val="20"/>
          <w:szCs w:val="20"/>
        </w:rPr>
        <w:t>R</w:t>
      </w:r>
      <w:r w:rsidR="00C54AC3">
        <w:rPr>
          <w:rFonts w:ascii="Arial" w:hAnsi="Arial" w:cs="Arial"/>
          <w:color w:val="000361"/>
          <w:sz w:val="20"/>
          <w:szCs w:val="20"/>
        </w:rPr>
        <w:t xml:space="preserve">+D de Laboratoris Hipra que podrien donar a </w:t>
      </w:r>
      <w:r w:rsidR="0064196D">
        <w:rPr>
          <w:rFonts w:ascii="Arial" w:hAnsi="Arial" w:cs="Arial"/>
          <w:color w:val="000361"/>
          <w:sz w:val="20"/>
          <w:szCs w:val="20"/>
        </w:rPr>
        <w:t>lloc a la possibilitat d’augmentar de manera significativa el marge sobre vendes si aquests aporten soluci</w:t>
      </w:r>
      <w:r w:rsidR="006B6394">
        <w:rPr>
          <w:rFonts w:ascii="Arial" w:hAnsi="Arial" w:cs="Arial"/>
          <w:color w:val="000361"/>
          <w:sz w:val="20"/>
          <w:szCs w:val="20"/>
        </w:rPr>
        <w:t>ons</w:t>
      </w:r>
      <w:r w:rsidR="0064196D">
        <w:rPr>
          <w:rFonts w:ascii="Arial" w:hAnsi="Arial" w:cs="Arial"/>
          <w:color w:val="000361"/>
          <w:sz w:val="20"/>
          <w:szCs w:val="20"/>
        </w:rPr>
        <w:t xml:space="preserve"> a necessitats no cobertes del mercat on opera.</w:t>
      </w:r>
    </w:p>
    <w:p w:rsidR="007620E9" w:rsidRDefault="007620E9" w:rsidP="002D48FA">
      <w:pPr>
        <w:jc w:val="both"/>
        <w:rPr>
          <w:rFonts w:ascii="Arial" w:hAnsi="Arial" w:cs="Arial"/>
          <w:b/>
          <w:color w:val="000361"/>
          <w:sz w:val="20"/>
          <w:szCs w:val="20"/>
        </w:rPr>
      </w:pPr>
    </w:p>
    <w:p w:rsidR="000E7F62" w:rsidRDefault="0064196D" w:rsidP="002D48FA">
      <w:pPr>
        <w:jc w:val="both"/>
        <w:rPr>
          <w:rFonts w:ascii="Arial" w:hAnsi="Arial" w:cs="Arial"/>
          <w:color w:val="000361"/>
          <w:sz w:val="20"/>
          <w:szCs w:val="20"/>
        </w:rPr>
      </w:pPr>
      <w:r w:rsidRPr="006B6394">
        <w:rPr>
          <w:rFonts w:ascii="Arial" w:hAnsi="Arial" w:cs="Arial"/>
          <w:color w:val="000361"/>
          <w:sz w:val="20"/>
          <w:szCs w:val="20"/>
        </w:rPr>
        <w:t xml:space="preserve">Per altra banda, mereix la nostra atenció la rotació de l’actiu que partint del valor 1,04 l’any 2015 ha anat </w:t>
      </w:r>
      <w:r w:rsidR="00DF620D" w:rsidRPr="006B6394">
        <w:rPr>
          <w:rFonts w:ascii="Arial" w:hAnsi="Arial" w:cs="Arial"/>
          <w:color w:val="000361"/>
          <w:sz w:val="20"/>
          <w:szCs w:val="20"/>
        </w:rPr>
        <w:t>disminuint</w:t>
      </w:r>
      <w:r w:rsidRPr="006B6394">
        <w:rPr>
          <w:rFonts w:ascii="Arial" w:hAnsi="Arial" w:cs="Arial"/>
          <w:color w:val="000361"/>
          <w:sz w:val="20"/>
          <w:szCs w:val="20"/>
        </w:rPr>
        <w:t xml:space="preserve"> fins al 0,84 de l’any 2019. Del 2018 al 2019 la caiguda ha estat de més d’un punt. Aquesta tendència que mostra la rotació és la que principalment condueix a la pèrdua de rendibilitat d’un exercici a l’altre. Es preocupant? Si i no. La disminució de la rotació de l’actiu indica la ineficiència dels actius</w:t>
      </w:r>
      <w:r w:rsidR="009D742D" w:rsidRPr="006B6394">
        <w:rPr>
          <w:rFonts w:ascii="Arial" w:hAnsi="Arial" w:cs="Arial"/>
          <w:color w:val="000361"/>
          <w:sz w:val="20"/>
          <w:szCs w:val="20"/>
        </w:rPr>
        <w:t xml:space="preserve"> en la consecució de resultats</w:t>
      </w:r>
      <w:r w:rsidR="008E02F6">
        <w:rPr>
          <w:rFonts w:ascii="Arial" w:hAnsi="Arial" w:cs="Arial"/>
          <w:color w:val="000361"/>
          <w:sz w:val="20"/>
          <w:szCs w:val="20"/>
        </w:rPr>
        <w:t>,</w:t>
      </w:r>
      <w:r w:rsidR="009D742D" w:rsidRPr="006B6394">
        <w:rPr>
          <w:rFonts w:ascii="Arial" w:hAnsi="Arial" w:cs="Arial"/>
          <w:color w:val="000361"/>
          <w:sz w:val="20"/>
          <w:szCs w:val="20"/>
        </w:rPr>
        <w:t xml:space="preserve"> no obstant si visualitzem l’empresa des d’un context més ampli veiem que està immers en un procés de creixement. Els actius, sobretot l’immobilitzat material estan augmentat els últims anys de manera significativa i també el personal que s’incorpora a l’empresa tal i com indiquen les despeses de personal reflectides al compte de pèrdues i guanys. Tots aquests actius posats a disposició d’una activitat empresarial com la farmacèutica no obtenen els rendiments esperats</w:t>
      </w:r>
      <w:r w:rsidR="006B6394" w:rsidRPr="006B6394">
        <w:rPr>
          <w:rFonts w:ascii="Arial" w:hAnsi="Arial" w:cs="Arial"/>
          <w:color w:val="000361"/>
          <w:sz w:val="20"/>
          <w:szCs w:val="20"/>
        </w:rPr>
        <w:t xml:space="preserve"> amb immediatesa sinó que</w:t>
      </w:r>
      <w:r w:rsidR="009D742D" w:rsidRPr="006B6394">
        <w:rPr>
          <w:rFonts w:ascii="Arial" w:hAnsi="Arial" w:cs="Arial"/>
          <w:color w:val="000361"/>
          <w:sz w:val="20"/>
          <w:szCs w:val="20"/>
        </w:rPr>
        <w:t xml:space="preserve"> </w:t>
      </w:r>
      <w:r w:rsidR="006B6394" w:rsidRPr="006B6394">
        <w:rPr>
          <w:rFonts w:ascii="Arial" w:hAnsi="Arial" w:cs="Arial"/>
          <w:color w:val="000361"/>
          <w:sz w:val="20"/>
          <w:szCs w:val="20"/>
        </w:rPr>
        <w:t xml:space="preserve">són inversions </w:t>
      </w:r>
      <w:r w:rsidR="008E02F6">
        <w:rPr>
          <w:rFonts w:ascii="Arial" w:hAnsi="Arial" w:cs="Arial"/>
          <w:color w:val="000361"/>
          <w:sz w:val="20"/>
          <w:szCs w:val="20"/>
        </w:rPr>
        <w:t xml:space="preserve">a </w:t>
      </w:r>
      <w:r w:rsidR="006B6394" w:rsidRPr="006B6394">
        <w:rPr>
          <w:rFonts w:ascii="Arial" w:hAnsi="Arial" w:cs="Arial"/>
          <w:color w:val="000361"/>
          <w:sz w:val="20"/>
          <w:szCs w:val="20"/>
        </w:rPr>
        <w:t xml:space="preserve">més llarg termini. </w:t>
      </w:r>
    </w:p>
    <w:p w:rsidR="000E7F62" w:rsidRDefault="000E7F62" w:rsidP="002D48FA">
      <w:pPr>
        <w:jc w:val="both"/>
        <w:rPr>
          <w:rFonts w:ascii="Arial" w:hAnsi="Arial" w:cs="Arial"/>
          <w:color w:val="000361"/>
          <w:sz w:val="20"/>
          <w:szCs w:val="20"/>
        </w:rPr>
      </w:pPr>
      <w:r>
        <w:rPr>
          <w:rFonts w:ascii="Arial" w:hAnsi="Arial" w:cs="Arial"/>
          <w:color w:val="000361"/>
          <w:sz w:val="20"/>
          <w:szCs w:val="20"/>
        </w:rPr>
        <w:t xml:space="preserve">La rendibilitat financera en tots els exercicis obté percentatges superiors a la rendibilitat a econòmica </w:t>
      </w:r>
      <w:r w:rsidR="008E02F6">
        <w:rPr>
          <w:rFonts w:ascii="Arial" w:hAnsi="Arial" w:cs="Arial"/>
          <w:color w:val="000361"/>
          <w:sz w:val="20"/>
          <w:szCs w:val="20"/>
        </w:rPr>
        <w:t xml:space="preserve">però molt vinculats a aquesta, </w:t>
      </w:r>
      <w:r>
        <w:rPr>
          <w:rFonts w:ascii="Arial" w:hAnsi="Arial" w:cs="Arial"/>
          <w:color w:val="000361"/>
          <w:sz w:val="20"/>
          <w:szCs w:val="20"/>
        </w:rPr>
        <w:t>amb diferències entre 0,1-2,0%</w:t>
      </w:r>
      <w:r w:rsidR="00EC34A1">
        <w:rPr>
          <w:rFonts w:ascii="Arial" w:hAnsi="Arial" w:cs="Arial"/>
          <w:color w:val="000361"/>
          <w:sz w:val="20"/>
          <w:szCs w:val="20"/>
        </w:rPr>
        <w:t xml:space="preserve"> degut al poc endeutament de l’empresa</w:t>
      </w:r>
      <w:r>
        <w:rPr>
          <w:rFonts w:ascii="Arial" w:hAnsi="Arial" w:cs="Arial"/>
          <w:color w:val="000361"/>
          <w:sz w:val="20"/>
          <w:szCs w:val="20"/>
        </w:rPr>
        <w:t>. L’any 2015 la rendibilitat financera era d’un 20,7% des de llavors i de manera esglaonada ha anat baixant, amb un 18,0% els anys 2016 i 2017</w:t>
      </w:r>
      <w:r w:rsidR="00327378">
        <w:rPr>
          <w:rFonts w:ascii="Arial" w:hAnsi="Arial" w:cs="Arial"/>
          <w:color w:val="000361"/>
          <w:sz w:val="20"/>
          <w:szCs w:val="20"/>
        </w:rPr>
        <w:t>, llavors torna a reduir-se fins a un 16,5% i 16,4% els anys 2018 i 2019 respectivament.</w:t>
      </w:r>
    </w:p>
    <w:p w:rsidR="00327378" w:rsidRDefault="00327378" w:rsidP="002D48FA">
      <w:pPr>
        <w:jc w:val="both"/>
        <w:rPr>
          <w:rFonts w:ascii="Arial" w:hAnsi="Arial" w:cs="Arial"/>
          <w:color w:val="000361"/>
          <w:sz w:val="20"/>
          <w:szCs w:val="20"/>
        </w:rPr>
      </w:pPr>
    </w:p>
    <w:p w:rsidR="00327378" w:rsidRDefault="00327378" w:rsidP="002D48FA">
      <w:pPr>
        <w:jc w:val="both"/>
        <w:rPr>
          <w:rFonts w:ascii="Arial" w:hAnsi="Arial" w:cs="Arial"/>
          <w:color w:val="000361"/>
          <w:sz w:val="20"/>
          <w:szCs w:val="20"/>
        </w:rPr>
      </w:pPr>
      <w:r>
        <w:rPr>
          <w:rFonts w:ascii="Arial" w:hAnsi="Arial" w:cs="Arial"/>
          <w:color w:val="000361"/>
          <w:sz w:val="20"/>
          <w:szCs w:val="20"/>
        </w:rPr>
        <w:t>Els valors obtinguts del palanquejament es troben entre 1,21 i 1,35. Són valors positius que indiquen que amb major endeutament per part de Laboratoris Hipra milloraria la rendibilitat financera. El cost de l’endeutament és inferior a la rendibilitat econòmica que</w:t>
      </w:r>
      <w:r w:rsidR="009613B9">
        <w:rPr>
          <w:rFonts w:ascii="Arial" w:hAnsi="Arial" w:cs="Arial"/>
          <w:color w:val="000361"/>
          <w:sz w:val="20"/>
          <w:szCs w:val="20"/>
        </w:rPr>
        <w:t xml:space="preserve"> </w:t>
      </w:r>
      <w:r w:rsidR="008E02F6">
        <w:rPr>
          <w:rFonts w:ascii="Arial" w:hAnsi="Arial" w:cs="Arial"/>
          <w:color w:val="000361"/>
          <w:sz w:val="20"/>
          <w:szCs w:val="20"/>
        </w:rPr>
        <w:t>proporcionen</w:t>
      </w:r>
      <w:r>
        <w:rPr>
          <w:rFonts w:ascii="Arial" w:hAnsi="Arial" w:cs="Arial"/>
          <w:color w:val="000361"/>
          <w:sz w:val="20"/>
          <w:szCs w:val="20"/>
        </w:rPr>
        <w:t xml:space="preserve"> els actius finançats</w:t>
      </w:r>
      <w:r w:rsidR="009613B9">
        <w:rPr>
          <w:rFonts w:ascii="Arial" w:hAnsi="Arial" w:cs="Arial"/>
          <w:color w:val="000361"/>
          <w:sz w:val="20"/>
          <w:szCs w:val="20"/>
        </w:rPr>
        <w:t xml:space="preserve"> i per tant és una opció que l’empresa hauria de valorar.</w:t>
      </w:r>
    </w:p>
    <w:p w:rsidR="009613B9" w:rsidRDefault="009613B9" w:rsidP="002D48FA">
      <w:pPr>
        <w:jc w:val="both"/>
        <w:rPr>
          <w:rFonts w:ascii="Arial" w:hAnsi="Arial" w:cs="Arial"/>
          <w:color w:val="000361"/>
          <w:sz w:val="20"/>
          <w:szCs w:val="20"/>
        </w:rPr>
      </w:pPr>
    </w:p>
    <w:p w:rsidR="009613B9" w:rsidRPr="006B6394" w:rsidRDefault="009613B9" w:rsidP="002D48FA">
      <w:pPr>
        <w:jc w:val="both"/>
        <w:rPr>
          <w:rFonts w:ascii="Arial" w:hAnsi="Arial" w:cs="Arial"/>
          <w:color w:val="000361"/>
          <w:sz w:val="20"/>
          <w:szCs w:val="20"/>
        </w:rPr>
      </w:pPr>
      <w:r>
        <w:rPr>
          <w:rFonts w:ascii="Arial" w:hAnsi="Arial" w:cs="Arial"/>
          <w:color w:val="000361"/>
          <w:sz w:val="20"/>
          <w:szCs w:val="20"/>
        </w:rPr>
        <w:t xml:space="preserve">L’empresa està sotmesa a una menor pressió fiscal el 2019 amb un valor de 0,86 respecte el 2015 </w:t>
      </w:r>
      <w:r w:rsidR="008E02F6">
        <w:rPr>
          <w:rFonts w:ascii="Arial" w:hAnsi="Arial" w:cs="Arial"/>
          <w:color w:val="000361"/>
          <w:sz w:val="20"/>
          <w:szCs w:val="20"/>
        </w:rPr>
        <w:t>on tenia un valor de</w:t>
      </w:r>
      <w:r>
        <w:rPr>
          <w:rFonts w:ascii="Arial" w:hAnsi="Arial" w:cs="Arial"/>
          <w:color w:val="000361"/>
          <w:sz w:val="20"/>
          <w:szCs w:val="20"/>
        </w:rPr>
        <w:t xml:space="preserve"> 0,79.</w:t>
      </w:r>
    </w:p>
    <w:p w:rsidR="007620E9" w:rsidRDefault="007620E9" w:rsidP="002D48FA">
      <w:pPr>
        <w:jc w:val="both"/>
        <w:rPr>
          <w:rFonts w:ascii="Arial" w:hAnsi="Arial" w:cs="Arial"/>
          <w:b/>
          <w:color w:val="000361"/>
          <w:sz w:val="20"/>
          <w:szCs w:val="20"/>
        </w:rPr>
      </w:pPr>
    </w:p>
    <w:p w:rsidR="007620E9" w:rsidRDefault="007620E9" w:rsidP="002D48FA">
      <w:pPr>
        <w:jc w:val="both"/>
        <w:rPr>
          <w:rFonts w:ascii="Arial" w:hAnsi="Arial" w:cs="Arial"/>
          <w:b/>
          <w:color w:val="000361"/>
          <w:sz w:val="20"/>
          <w:szCs w:val="20"/>
        </w:rPr>
      </w:pPr>
    </w:p>
    <w:p w:rsidR="00AB387A" w:rsidRPr="0056159E" w:rsidRDefault="00106DD6" w:rsidP="002D48FA">
      <w:pPr>
        <w:jc w:val="both"/>
        <w:rPr>
          <w:rFonts w:ascii="Arial" w:hAnsi="Arial" w:cs="Arial"/>
          <w:b/>
          <w:color w:val="000361"/>
        </w:rPr>
      </w:pPr>
      <w:r w:rsidRPr="0056159E">
        <w:rPr>
          <w:rFonts w:ascii="Arial" w:hAnsi="Arial" w:cs="Arial"/>
          <w:b/>
          <w:color w:val="000361"/>
        </w:rPr>
        <w:t>2.</w:t>
      </w:r>
      <w:r w:rsidR="00A12F82">
        <w:rPr>
          <w:rFonts w:ascii="Arial" w:hAnsi="Arial" w:cs="Arial"/>
          <w:b/>
          <w:color w:val="000361"/>
        </w:rPr>
        <w:t>5</w:t>
      </w:r>
      <w:r w:rsidRPr="0056159E">
        <w:rPr>
          <w:rFonts w:ascii="Arial" w:hAnsi="Arial" w:cs="Arial"/>
          <w:b/>
          <w:color w:val="000361"/>
        </w:rPr>
        <w:t xml:space="preserve">. Anàlisi de l’estat de canvis en el </w:t>
      </w:r>
      <w:r w:rsidR="00B23EB2" w:rsidRPr="0056159E">
        <w:rPr>
          <w:rFonts w:ascii="Arial" w:hAnsi="Arial" w:cs="Arial"/>
          <w:b/>
          <w:color w:val="000361"/>
        </w:rPr>
        <w:t>P</w:t>
      </w:r>
      <w:r w:rsidRPr="0056159E">
        <w:rPr>
          <w:rFonts w:ascii="Arial" w:hAnsi="Arial" w:cs="Arial"/>
          <w:b/>
          <w:color w:val="000361"/>
        </w:rPr>
        <w:t xml:space="preserve">atrimoni </w:t>
      </w:r>
      <w:r w:rsidR="00B23EB2" w:rsidRPr="0056159E">
        <w:rPr>
          <w:rFonts w:ascii="Arial" w:hAnsi="Arial" w:cs="Arial"/>
          <w:b/>
          <w:color w:val="000361"/>
        </w:rPr>
        <w:t>N</w:t>
      </w:r>
      <w:r w:rsidRPr="0056159E">
        <w:rPr>
          <w:rFonts w:ascii="Arial" w:hAnsi="Arial" w:cs="Arial"/>
          <w:b/>
          <w:color w:val="000361"/>
        </w:rPr>
        <w:t>et</w:t>
      </w:r>
      <w:r w:rsidR="0036376F">
        <w:rPr>
          <w:rFonts w:ascii="Arial" w:hAnsi="Arial" w:cs="Arial"/>
          <w:b/>
          <w:color w:val="000361"/>
        </w:rPr>
        <w:t xml:space="preserve"> (ECPN)</w:t>
      </w:r>
    </w:p>
    <w:p w:rsidR="00F6493A" w:rsidRDefault="00F6493A" w:rsidP="002D48FA">
      <w:pPr>
        <w:jc w:val="both"/>
        <w:rPr>
          <w:rFonts w:ascii="Arial" w:hAnsi="Arial" w:cs="Arial"/>
          <w:b/>
          <w:color w:val="000361"/>
          <w:sz w:val="20"/>
          <w:szCs w:val="20"/>
        </w:rPr>
      </w:pPr>
    </w:p>
    <w:p w:rsidR="00D12BDE" w:rsidRPr="00476A48" w:rsidRDefault="00885C71" w:rsidP="002D48FA">
      <w:pPr>
        <w:jc w:val="both"/>
        <w:rPr>
          <w:rFonts w:ascii="Arial" w:hAnsi="Arial" w:cs="Arial"/>
          <w:color w:val="000361"/>
          <w:sz w:val="20"/>
          <w:szCs w:val="20"/>
        </w:rPr>
      </w:pPr>
      <w:r w:rsidRPr="00476A48">
        <w:rPr>
          <w:rFonts w:ascii="Arial" w:hAnsi="Arial" w:cs="Arial"/>
          <w:color w:val="000361"/>
          <w:sz w:val="20"/>
          <w:szCs w:val="20"/>
        </w:rPr>
        <w:t xml:space="preserve">L’anàlisi de l’estat de canvis del patrimoni </w:t>
      </w:r>
      <w:r w:rsidR="003F4BB5" w:rsidRPr="00476A48">
        <w:rPr>
          <w:rFonts w:ascii="Arial" w:hAnsi="Arial" w:cs="Arial"/>
          <w:color w:val="000361"/>
          <w:sz w:val="20"/>
          <w:szCs w:val="20"/>
        </w:rPr>
        <w:t>de Laboratoris Hipra pels exercicis 2015 al 2019</w:t>
      </w:r>
      <w:r w:rsidR="00F7210C" w:rsidRPr="00476A48">
        <w:rPr>
          <w:rFonts w:ascii="Arial" w:hAnsi="Arial" w:cs="Arial"/>
          <w:color w:val="000361"/>
          <w:sz w:val="20"/>
          <w:szCs w:val="20"/>
        </w:rPr>
        <w:t xml:space="preserve"> ha estat certament complicat. Les dades que disposa la base de dades SABI només contenen informació parcial sobre l’ECPN de l’empresa de tal manera que s’ha recorregut al servei de pagament que ofereix el Registre Mercantil en aquest cas de Girona. Els comptes anuals de H</w:t>
      </w:r>
      <w:r w:rsidR="00D51D8D">
        <w:rPr>
          <w:rFonts w:ascii="Arial" w:hAnsi="Arial" w:cs="Arial"/>
          <w:color w:val="000361"/>
          <w:sz w:val="20"/>
          <w:szCs w:val="20"/>
        </w:rPr>
        <w:t>ipra</w:t>
      </w:r>
      <w:r w:rsidR="00F7210C" w:rsidRPr="00476A48">
        <w:rPr>
          <w:rFonts w:ascii="Arial" w:hAnsi="Arial" w:cs="Arial"/>
          <w:color w:val="000361"/>
          <w:sz w:val="20"/>
          <w:szCs w:val="20"/>
        </w:rPr>
        <w:t xml:space="preserve"> </w:t>
      </w:r>
      <w:r w:rsidR="006012D2" w:rsidRPr="00476A48">
        <w:rPr>
          <w:rFonts w:ascii="Arial" w:hAnsi="Arial" w:cs="Arial"/>
          <w:color w:val="000361"/>
          <w:sz w:val="20"/>
          <w:szCs w:val="20"/>
        </w:rPr>
        <w:t>dipositats</w:t>
      </w:r>
      <w:r w:rsidR="00F7210C" w:rsidRPr="00476A48">
        <w:rPr>
          <w:rFonts w:ascii="Arial" w:hAnsi="Arial" w:cs="Arial"/>
          <w:color w:val="000361"/>
          <w:sz w:val="20"/>
          <w:szCs w:val="20"/>
        </w:rPr>
        <w:t xml:space="preserve"> en aquest registre </w:t>
      </w:r>
      <w:r w:rsidR="006012D2" w:rsidRPr="00476A48">
        <w:rPr>
          <w:rFonts w:ascii="Arial" w:hAnsi="Arial" w:cs="Arial"/>
          <w:color w:val="000361"/>
          <w:sz w:val="20"/>
          <w:szCs w:val="20"/>
        </w:rPr>
        <w:t>inclo</w:t>
      </w:r>
      <w:r w:rsidR="006012D2">
        <w:rPr>
          <w:rFonts w:ascii="Arial" w:hAnsi="Arial" w:cs="Arial"/>
          <w:color w:val="000361"/>
          <w:sz w:val="20"/>
          <w:szCs w:val="20"/>
        </w:rPr>
        <w:t>u</w:t>
      </w:r>
      <w:r w:rsidR="006012D2" w:rsidRPr="00476A48">
        <w:rPr>
          <w:rFonts w:ascii="Arial" w:hAnsi="Arial" w:cs="Arial"/>
          <w:color w:val="000361"/>
          <w:sz w:val="20"/>
          <w:szCs w:val="20"/>
        </w:rPr>
        <w:t>en</w:t>
      </w:r>
      <w:r w:rsidR="00F7210C" w:rsidRPr="00476A48">
        <w:rPr>
          <w:rFonts w:ascii="Arial" w:hAnsi="Arial" w:cs="Arial"/>
          <w:color w:val="000361"/>
          <w:sz w:val="20"/>
          <w:szCs w:val="20"/>
        </w:rPr>
        <w:t xml:space="preserve"> els ECPN consolidats pels exercicis 2016, 2017, 2018 i 2019 però no disposen d’aquest pel període 2015 i en conseqüència l’anàlisi </w:t>
      </w:r>
      <w:r w:rsidR="00631CA2">
        <w:rPr>
          <w:rFonts w:ascii="Arial" w:hAnsi="Arial" w:cs="Arial"/>
          <w:color w:val="000361"/>
          <w:sz w:val="20"/>
          <w:szCs w:val="20"/>
        </w:rPr>
        <w:t>vindrà determinat per</w:t>
      </w:r>
      <w:r w:rsidR="00476A48" w:rsidRPr="00476A48">
        <w:rPr>
          <w:rFonts w:ascii="Arial" w:hAnsi="Arial" w:cs="Arial"/>
          <w:color w:val="000361"/>
          <w:sz w:val="20"/>
          <w:szCs w:val="20"/>
        </w:rPr>
        <w:t xml:space="preserve"> aquests 4 exercicis.</w:t>
      </w:r>
    </w:p>
    <w:p w:rsidR="00476A48" w:rsidRDefault="00476A48" w:rsidP="002D48FA">
      <w:pPr>
        <w:jc w:val="both"/>
        <w:rPr>
          <w:rFonts w:ascii="Arial" w:hAnsi="Arial" w:cs="Arial"/>
          <w:color w:val="000361"/>
          <w:sz w:val="20"/>
          <w:szCs w:val="20"/>
        </w:rPr>
      </w:pPr>
    </w:p>
    <w:p w:rsidR="00873831" w:rsidRDefault="00476A48" w:rsidP="002D48FA">
      <w:pPr>
        <w:jc w:val="both"/>
        <w:rPr>
          <w:rFonts w:ascii="Arial" w:hAnsi="Arial" w:cs="Arial"/>
          <w:color w:val="000361"/>
          <w:sz w:val="20"/>
          <w:szCs w:val="20"/>
        </w:rPr>
      </w:pPr>
      <w:r>
        <w:rPr>
          <w:rFonts w:ascii="Arial" w:hAnsi="Arial" w:cs="Arial"/>
          <w:color w:val="000361"/>
          <w:sz w:val="20"/>
          <w:szCs w:val="20"/>
        </w:rPr>
        <w:t xml:space="preserve">La taula </w:t>
      </w:r>
      <w:r w:rsidR="00046226">
        <w:rPr>
          <w:rFonts w:ascii="Arial" w:hAnsi="Arial" w:cs="Arial"/>
          <w:color w:val="000361"/>
          <w:sz w:val="20"/>
          <w:szCs w:val="20"/>
        </w:rPr>
        <w:t>2.</w:t>
      </w:r>
      <w:r w:rsidR="00A12F82">
        <w:rPr>
          <w:rFonts w:ascii="Arial" w:hAnsi="Arial" w:cs="Arial"/>
          <w:color w:val="000361"/>
          <w:sz w:val="20"/>
          <w:szCs w:val="20"/>
        </w:rPr>
        <w:t>9</w:t>
      </w:r>
      <w:r w:rsidR="00046226">
        <w:rPr>
          <w:rFonts w:ascii="Arial" w:hAnsi="Arial" w:cs="Arial"/>
          <w:color w:val="000361"/>
          <w:sz w:val="20"/>
          <w:szCs w:val="20"/>
        </w:rPr>
        <w:t xml:space="preserve"> </w:t>
      </w:r>
      <w:r>
        <w:rPr>
          <w:rFonts w:ascii="Arial" w:hAnsi="Arial" w:cs="Arial"/>
          <w:color w:val="000361"/>
          <w:sz w:val="20"/>
          <w:szCs w:val="20"/>
        </w:rPr>
        <w:t xml:space="preserve">que s’adjunta a </w:t>
      </w:r>
      <w:r w:rsidR="00046226">
        <w:rPr>
          <w:rFonts w:ascii="Arial" w:hAnsi="Arial" w:cs="Arial"/>
          <w:color w:val="000361"/>
          <w:sz w:val="20"/>
          <w:szCs w:val="20"/>
        </w:rPr>
        <w:t>la següent pàgina</w:t>
      </w:r>
      <w:r>
        <w:rPr>
          <w:rFonts w:ascii="Arial" w:hAnsi="Arial" w:cs="Arial"/>
          <w:color w:val="000361"/>
          <w:sz w:val="20"/>
          <w:szCs w:val="20"/>
        </w:rPr>
        <w:t xml:space="preserve"> amb els ECPN</w:t>
      </w:r>
      <w:r w:rsidR="003F4BB5">
        <w:rPr>
          <w:rFonts w:ascii="Arial" w:hAnsi="Arial" w:cs="Arial"/>
          <w:color w:val="000361"/>
          <w:sz w:val="20"/>
          <w:szCs w:val="20"/>
        </w:rPr>
        <w:t xml:space="preserve"> s’ha elaborat</w:t>
      </w:r>
      <w:r>
        <w:rPr>
          <w:rFonts w:ascii="Arial" w:hAnsi="Arial" w:cs="Arial"/>
          <w:color w:val="000361"/>
          <w:sz w:val="20"/>
          <w:szCs w:val="20"/>
        </w:rPr>
        <w:t xml:space="preserve"> de manera simplificada tenint en compte només aquells apartats que contenen saldos</w:t>
      </w:r>
      <w:r w:rsidR="003F4BB5">
        <w:rPr>
          <w:rFonts w:ascii="Arial" w:hAnsi="Arial" w:cs="Arial"/>
          <w:color w:val="000361"/>
          <w:sz w:val="20"/>
          <w:szCs w:val="20"/>
        </w:rPr>
        <w:t xml:space="preserve"> </w:t>
      </w:r>
      <w:r w:rsidR="005F180C">
        <w:rPr>
          <w:rFonts w:ascii="Arial" w:hAnsi="Arial" w:cs="Arial"/>
          <w:color w:val="000361"/>
          <w:sz w:val="20"/>
          <w:szCs w:val="20"/>
        </w:rPr>
        <w:t xml:space="preserve">perquè </w:t>
      </w:r>
      <w:r w:rsidR="00D12BDE">
        <w:rPr>
          <w:rFonts w:ascii="Arial" w:hAnsi="Arial" w:cs="Arial"/>
          <w:color w:val="000361"/>
          <w:sz w:val="20"/>
          <w:szCs w:val="20"/>
        </w:rPr>
        <w:t>sigui</w:t>
      </w:r>
      <w:r w:rsidR="005F180C">
        <w:rPr>
          <w:rFonts w:ascii="Arial" w:hAnsi="Arial" w:cs="Arial"/>
          <w:color w:val="000361"/>
          <w:sz w:val="20"/>
          <w:szCs w:val="20"/>
        </w:rPr>
        <w:t xml:space="preserve"> de fàcil lectura </w:t>
      </w:r>
      <w:r>
        <w:rPr>
          <w:rFonts w:ascii="Arial" w:hAnsi="Arial" w:cs="Arial"/>
          <w:color w:val="000361"/>
          <w:sz w:val="20"/>
          <w:szCs w:val="20"/>
        </w:rPr>
        <w:t>i comprensió.</w:t>
      </w:r>
    </w:p>
    <w:p w:rsidR="00476A48" w:rsidRDefault="00476A48" w:rsidP="002D48FA">
      <w:pPr>
        <w:jc w:val="both"/>
        <w:rPr>
          <w:rFonts w:ascii="Arial" w:hAnsi="Arial" w:cs="Arial"/>
          <w:color w:val="000361"/>
          <w:sz w:val="20"/>
          <w:szCs w:val="20"/>
        </w:rPr>
      </w:pPr>
    </w:p>
    <w:p w:rsidR="002E1D9D" w:rsidRDefault="002E1D9D" w:rsidP="002D48FA">
      <w:pPr>
        <w:jc w:val="both"/>
        <w:rPr>
          <w:rFonts w:ascii="Arial" w:hAnsi="Arial" w:cs="Arial"/>
          <w:color w:val="000361"/>
          <w:sz w:val="20"/>
          <w:szCs w:val="20"/>
        </w:rPr>
      </w:pPr>
    </w:p>
    <w:p w:rsidR="002E1D9D" w:rsidRDefault="002E1D9D" w:rsidP="002E1D9D">
      <w:pPr>
        <w:jc w:val="both"/>
        <w:rPr>
          <w:rFonts w:ascii="Arial" w:hAnsi="Arial" w:cs="Arial"/>
          <w:color w:val="000361"/>
          <w:sz w:val="20"/>
          <w:szCs w:val="20"/>
        </w:rPr>
        <w:sectPr w:rsidR="002E1D9D" w:rsidSect="00EA2E31">
          <w:pgSz w:w="11901" w:h="16817"/>
          <w:pgMar w:top="1440" w:right="1440" w:bottom="1440" w:left="1440" w:header="709" w:footer="709" w:gutter="0"/>
          <w:cols w:space="708"/>
          <w:docGrid w:linePitch="360"/>
        </w:sectPr>
      </w:pPr>
      <w:r w:rsidRPr="00937A94">
        <w:rPr>
          <w:rFonts w:ascii="Arial" w:hAnsi="Arial" w:cs="Arial"/>
          <w:color w:val="002060"/>
          <w:sz w:val="20"/>
          <w:szCs w:val="20"/>
        </w:rPr>
        <w:t xml:space="preserve"> </w:t>
      </w:r>
    </w:p>
    <w:tbl>
      <w:tblPr>
        <w:tblW w:w="14602" w:type="dxa"/>
        <w:tblCellMar>
          <w:left w:w="70" w:type="dxa"/>
          <w:right w:w="70" w:type="dxa"/>
        </w:tblCellMar>
        <w:tblLook w:val="04A0" w:firstRow="1" w:lastRow="0" w:firstColumn="1" w:lastColumn="0" w:noHBand="0" w:noVBand="1"/>
      </w:tblPr>
      <w:tblGrid>
        <w:gridCol w:w="6797"/>
        <w:gridCol w:w="1265"/>
        <w:gridCol w:w="1265"/>
        <w:gridCol w:w="1480"/>
        <w:gridCol w:w="1265"/>
        <w:gridCol w:w="1265"/>
        <w:gridCol w:w="1265"/>
      </w:tblGrid>
      <w:tr w:rsidR="002E1D9D" w:rsidRPr="002E1D9D" w:rsidTr="002E1D9D">
        <w:trPr>
          <w:trHeight w:val="1051"/>
        </w:trPr>
        <w:tc>
          <w:tcPr>
            <w:tcW w:w="6797" w:type="dxa"/>
            <w:tcBorders>
              <w:top w:val="nil"/>
              <w:left w:val="nil"/>
              <w:bottom w:val="nil"/>
              <w:right w:val="nil"/>
            </w:tcBorders>
            <w:shd w:val="clear" w:color="auto" w:fill="auto"/>
            <w:noWrap/>
            <w:hideMark/>
          </w:tcPr>
          <w:p w:rsidR="002E1D9D" w:rsidRPr="002E1D9D" w:rsidRDefault="002E1D9D" w:rsidP="002E1D9D">
            <w:pPr>
              <w:rPr>
                <w:rFonts w:ascii="Arial" w:hAnsi="Arial" w:cs="Arial"/>
                <w:color w:val="002060"/>
                <w:sz w:val="20"/>
                <w:szCs w:val="20"/>
              </w:rPr>
            </w:pPr>
            <w:r w:rsidRPr="002E1D9D">
              <w:rPr>
                <w:rFonts w:ascii="Arial" w:hAnsi="Arial" w:cs="Arial"/>
                <w:color w:val="002060"/>
                <w:sz w:val="20"/>
                <w:szCs w:val="20"/>
              </w:rPr>
              <w:lastRenderedPageBreak/>
              <w:t>Taula 2.</w:t>
            </w:r>
            <w:r w:rsidR="0036789D">
              <w:rPr>
                <w:rFonts w:ascii="Arial" w:hAnsi="Arial" w:cs="Arial"/>
                <w:color w:val="002060"/>
                <w:sz w:val="20"/>
                <w:szCs w:val="20"/>
              </w:rPr>
              <w:t>9</w:t>
            </w:r>
            <w:r w:rsidRPr="002E1D9D">
              <w:rPr>
                <w:rFonts w:ascii="Arial" w:hAnsi="Arial" w:cs="Arial"/>
                <w:color w:val="002060"/>
                <w:sz w:val="20"/>
                <w:szCs w:val="20"/>
              </w:rPr>
              <w:t xml:space="preserve"> – ECPN de Laboratoris Hipra pels exercicis 2016 al 2019</w:t>
            </w:r>
          </w:p>
        </w:tc>
        <w:tc>
          <w:tcPr>
            <w:tcW w:w="1265" w:type="dxa"/>
            <w:tcBorders>
              <w:top w:val="single" w:sz="4" w:space="0" w:color="auto"/>
              <w:left w:val="single" w:sz="4" w:space="0" w:color="auto"/>
              <w:bottom w:val="nil"/>
              <w:right w:val="single" w:sz="4" w:space="0" w:color="auto"/>
            </w:tcBorders>
            <w:shd w:val="clear" w:color="auto" w:fill="auto"/>
            <w:vAlign w:val="center"/>
            <w:hideMark/>
          </w:tcPr>
          <w:p w:rsidR="002E1D9D" w:rsidRPr="002E1D9D" w:rsidRDefault="002E1D9D" w:rsidP="002E1D9D">
            <w:pPr>
              <w:jc w:val="center"/>
              <w:rPr>
                <w:rFonts w:ascii="Arial" w:hAnsi="Arial" w:cs="Arial"/>
                <w:b/>
                <w:bCs/>
                <w:color w:val="002060"/>
                <w:sz w:val="18"/>
                <w:szCs w:val="18"/>
              </w:rPr>
            </w:pPr>
            <w:r w:rsidRPr="002E1D9D">
              <w:rPr>
                <w:rFonts w:ascii="Arial" w:hAnsi="Arial" w:cs="Arial"/>
                <w:b/>
                <w:bCs/>
                <w:color w:val="002060"/>
                <w:sz w:val="18"/>
                <w:szCs w:val="18"/>
              </w:rPr>
              <w:t>Capital escripturat</w:t>
            </w:r>
          </w:p>
        </w:tc>
        <w:tc>
          <w:tcPr>
            <w:tcW w:w="1265" w:type="dxa"/>
            <w:tcBorders>
              <w:top w:val="single" w:sz="4" w:space="0" w:color="auto"/>
              <w:left w:val="nil"/>
              <w:bottom w:val="nil"/>
              <w:right w:val="single" w:sz="4" w:space="0" w:color="auto"/>
            </w:tcBorders>
            <w:shd w:val="clear" w:color="auto" w:fill="auto"/>
            <w:vAlign w:val="center"/>
            <w:hideMark/>
          </w:tcPr>
          <w:p w:rsidR="002E1D9D" w:rsidRPr="002E1D9D" w:rsidRDefault="002E1D9D" w:rsidP="002E1D9D">
            <w:pPr>
              <w:jc w:val="center"/>
              <w:rPr>
                <w:rFonts w:ascii="Arial" w:hAnsi="Arial" w:cs="Arial"/>
                <w:b/>
                <w:bCs/>
                <w:color w:val="002060"/>
                <w:sz w:val="18"/>
                <w:szCs w:val="18"/>
              </w:rPr>
            </w:pPr>
            <w:r w:rsidRPr="002E1D9D">
              <w:rPr>
                <w:rFonts w:ascii="Arial" w:hAnsi="Arial" w:cs="Arial"/>
                <w:b/>
                <w:bCs/>
                <w:color w:val="002060"/>
                <w:sz w:val="18"/>
                <w:szCs w:val="18"/>
              </w:rPr>
              <w:t>Reserves</w:t>
            </w:r>
          </w:p>
        </w:tc>
        <w:tc>
          <w:tcPr>
            <w:tcW w:w="1480" w:type="dxa"/>
            <w:tcBorders>
              <w:top w:val="single" w:sz="4" w:space="0" w:color="auto"/>
              <w:left w:val="nil"/>
              <w:bottom w:val="nil"/>
              <w:right w:val="single" w:sz="4" w:space="0" w:color="auto"/>
            </w:tcBorders>
            <w:shd w:val="clear" w:color="auto" w:fill="auto"/>
            <w:vAlign w:val="center"/>
            <w:hideMark/>
          </w:tcPr>
          <w:p w:rsidR="002E1D9D" w:rsidRPr="002E1D9D" w:rsidRDefault="002E1D9D" w:rsidP="002E1D9D">
            <w:pPr>
              <w:jc w:val="center"/>
              <w:rPr>
                <w:rFonts w:ascii="Arial" w:hAnsi="Arial" w:cs="Arial"/>
                <w:b/>
                <w:bCs/>
                <w:color w:val="002060"/>
                <w:sz w:val="18"/>
                <w:szCs w:val="18"/>
              </w:rPr>
            </w:pPr>
            <w:r w:rsidRPr="002E1D9D">
              <w:rPr>
                <w:rFonts w:ascii="Arial" w:hAnsi="Arial" w:cs="Arial"/>
                <w:b/>
                <w:bCs/>
                <w:color w:val="002060"/>
                <w:sz w:val="18"/>
                <w:szCs w:val="18"/>
              </w:rPr>
              <w:t>Accions i participacions en patrimoni pròpies</w:t>
            </w:r>
          </w:p>
        </w:tc>
        <w:tc>
          <w:tcPr>
            <w:tcW w:w="1265" w:type="dxa"/>
            <w:tcBorders>
              <w:top w:val="single" w:sz="4" w:space="0" w:color="auto"/>
              <w:left w:val="nil"/>
              <w:bottom w:val="nil"/>
              <w:right w:val="single" w:sz="4" w:space="0" w:color="auto"/>
            </w:tcBorders>
            <w:shd w:val="clear" w:color="auto" w:fill="auto"/>
            <w:vAlign w:val="center"/>
            <w:hideMark/>
          </w:tcPr>
          <w:p w:rsidR="002E1D9D" w:rsidRPr="002E1D9D" w:rsidRDefault="002E1D9D" w:rsidP="002E1D9D">
            <w:pPr>
              <w:jc w:val="center"/>
              <w:rPr>
                <w:rFonts w:ascii="Arial" w:hAnsi="Arial" w:cs="Arial"/>
                <w:b/>
                <w:bCs/>
                <w:color w:val="002060"/>
                <w:sz w:val="18"/>
                <w:szCs w:val="18"/>
              </w:rPr>
            </w:pPr>
            <w:r w:rsidRPr="002E1D9D">
              <w:rPr>
                <w:rFonts w:ascii="Arial" w:hAnsi="Arial" w:cs="Arial"/>
                <w:b/>
                <w:bCs/>
                <w:color w:val="002060"/>
                <w:sz w:val="18"/>
                <w:szCs w:val="18"/>
              </w:rPr>
              <w:t>Resultat de l'exercici</w:t>
            </w:r>
          </w:p>
        </w:tc>
        <w:tc>
          <w:tcPr>
            <w:tcW w:w="1265" w:type="dxa"/>
            <w:tcBorders>
              <w:top w:val="single" w:sz="4" w:space="0" w:color="auto"/>
              <w:left w:val="nil"/>
              <w:bottom w:val="nil"/>
              <w:right w:val="single" w:sz="4" w:space="0" w:color="auto"/>
            </w:tcBorders>
            <w:shd w:val="clear" w:color="auto" w:fill="auto"/>
            <w:vAlign w:val="center"/>
            <w:hideMark/>
          </w:tcPr>
          <w:p w:rsidR="002E1D9D" w:rsidRPr="002E1D9D" w:rsidRDefault="002E1D9D" w:rsidP="002E1D9D">
            <w:pPr>
              <w:jc w:val="center"/>
              <w:rPr>
                <w:rFonts w:ascii="Arial" w:hAnsi="Arial" w:cs="Arial"/>
                <w:b/>
                <w:bCs/>
                <w:color w:val="002060"/>
                <w:sz w:val="18"/>
                <w:szCs w:val="18"/>
              </w:rPr>
            </w:pPr>
            <w:r w:rsidRPr="002E1D9D">
              <w:rPr>
                <w:rFonts w:ascii="Arial" w:hAnsi="Arial" w:cs="Arial"/>
                <w:b/>
                <w:bCs/>
                <w:color w:val="002060"/>
                <w:sz w:val="18"/>
                <w:szCs w:val="18"/>
              </w:rPr>
              <w:t>Ajustos per canvis de valor</w:t>
            </w:r>
          </w:p>
        </w:tc>
        <w:tc>
          <w:tcPr>
            <w:tcW w:w="1265" w:type="dxa"/>
            <w:tcBorders>
              <w:top w:val="single" w:sz="4" w:space="0" w:color="auto"/>
              <w:left w:val="nil"/>
              <w:bottom w:val="nil"/>
              <w:right w:val="single" w:sz="4" w:space="0" w:color="auto"/>
            </w:tcBorders>
            <w:shd w:val="clear" w:color="auto" w:fill="auto"/>
            <w:vAlign w:val="center"/>
            <w:hideMark/>
          </w:tcPr>
          <w:p w:rsidR="002E1D9D" w:rsidRPr="002E1D9D" w:rsidRDefault="002E1D9D" w:rsidP="002E1D9D">
            <w:pPr>
              <w:jc w:val="center"/>
              <w:rPr>
                <w:rFonts w:ascii="Arial" w:hAnsi="Arial" w:cs="Arial"/>
                <w:b/>
                <w:bCs/>
                <w:color w:val="002060"/>
                <w:sz w:val="18"/>
                <w:szCs w:val="18"/>
              </w:rPr>
            </w:pPr>
            <w:r w:rsidRPr="002E1D9D">
              <w:rPr>
                <w:rFonts w:ascii="Arial" w:hAnsi="Arial" w:cs="Arial"/>
                <w:b/>
                <w:bCs/>
                <w:color w:val="002060"/>
                <w:sz w:val="18"/>
                <w:szCs w:val="18"/>
              </w:rPr>
              <w:t>Total</w:t>
            </w:r>
          </w:p>
        </w:tc>
      </w:tr>
      <w:tr w:rsidR="002E1D9D" w:rsidRPr="002E1D9D" w:rsidTr="002E1D9D">
        <w:trPr>
          <w:trHeight w:val="205"/>
        </w:trPr>
        <w:tc>
          <w:tcPr>
            <w:tcW w:w="679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SALDO AJUSTAT INICI DEL EXERCICI 2019</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30000</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156165</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-1758</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34795</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-8614</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210588</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I. Total ingressos i despeses reconegudes</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40062</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112</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40174</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II. Operacions amb socis i propietaris</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26602</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-60</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-34795</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-8253</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xml:space="preserve">  Distribució de dividends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-8292</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xml:space="preserve"> Altres operacions amb socis i propietaris</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26503</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-26503</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xml:space="preserve">  Operacions amb accions o participacions pròpies (netes)</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99</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-60</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III. Altres variacions del patrimoni net</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113</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1181</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1294</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000000" w:fill="E7E6E6"/>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SALDO FINAL EXERCICI 2019</w:t>
            </w:r>
          </w:p>
        </w:tc>
        <w:tc>
          <w:tcPr>
            <w:tcW w:w="1265"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30000</w:t>
            </w:r>
          </w:p>
        </w:tc>
        <w:tc>
          <w:tcPr>
            <w:tcW w:w="1265"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182880</w:t>
            </w:r>
          </w:p>
        </w:tc>
        <w:tc>
          <w:tcPr>
            <w:tcW w:w="1480"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-1818</w:t>
            </w:r>
          </w:p>
        </w:tc>
        <w:tc>
          <w:tcPr>
            <w:tcW w:w="1265"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40062</w:t>
            </w:r>
          </w:p>
        </w:tc>
        <w:tc>
          <w:tcPr>
            <w:tcW w:w="1265"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-7321</w:t>
            </w:r>
          </w:p>
        </w:tc>
        <w:tc>
          <w:tcPr>
            <w:tcW w:w="1265"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243803</w:t>
            </w:r>
          </w:p>
        </w:tc>
      </w:tr>
      <w:tr w:rsidR="002E1D9D" w:rsidRPr="002E1D9D" w:rsidTr="002E1D9D">
        <w:trPr>
          <w:trHeight w:val="217"/>
        </w:trPr>
        <w:tc>
          <w:tcPr>
            <w:tcW w:w="6797" w:type="dxa"/>
            <w:tcBorders>
              <w:top w:val="nil"/>
              <w:left w:val="nil"/>
              <w:bottom w:val="nil"/>
              <w:right w:val="nil"/>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p>
        </w:tc>
        <w:tc>
          <w:tcPr>
            <w:tcW w:w="1265" w:type="dxa"/>
            <w:tcBorders>
              <w:top w:val="nil"/>
              <w:left w:val="nil"/>
              <w:bottom w:val="nil"/>
              <w:right w:val="nil"/>
            </w:tcBorders>
            <w:shd w:val="clear" w:color="auto" w:fill="auto"/>
            <w:noWrap/>
            <w:vAlign w:val="bottom"/>
            <w:hideMark/>
          </w:tcPr>
          <w:p w:rsidR="002E1D9D" w:rsidRPr="002E1D9D" w:rsidRDefault="002E1D9D" w:rsidP="002E1D9D">
            <w:pPr>
              <w:rPr>
                <w:rFonts w:ascii="Arial" w:hAnsi="Arial" w:cs="Arial"/>
                <w:color w:val="002060"/>
                <w:sz w:val="18"/>
                <w:szCs w:val="18"/>
              </w:rPr>
            </w:pPr>
          </w:p>
        </w:tc>
        <w:tc>
          <w:tcPr>
            <w:tcW w:w="1265" w:type="dxa"/>
            <w:tcBorders>
              <w:top w:val="nil"/>
              <w:left w:val="nil"/>
              <w:bottom w:val="nil"/>
              <w:right w:val="nil"/>
            </w:tcBorders>
            <w:shd w:val="clear" w:color="auto" w:fill="auto"/>
            <w:noWrap/>
            <w:vAlign w:val="bottom"/>
            <w:hideMark/>
          </w:tcPr>
          <w:p w:rsidR="002E1D9D" w:rsidRPr="002E1D9D" w:rsidRDefault="002E1D9D" w:rsidP="002E1D9D">
            <w:pPr>
              <w:rPr>
                <w:rFonts w:ascii="Arial" w:hAnsi="Arial" w:cs="Arial"/>
                <w:color w:val="002060"/>
                <w:sz w:val="18"/>
                <w:szCs w:val="18"/>
              </w:rPr>
            </w:pPr>
          </w:p>
        </w:tc>
        <w:tc>
          <w:tcPr>
            <w:tcW w:w="1480" w:type="dxa"/>
            <w:tcBorders>
              <w:top w:val="nil"/>
              <w:left w:val="nil"/>
              <w:bottom w:val="nil"/>
              <w:right w:val="nil"/>
            </w:tcBorders>
            <w:shd w:val="clear" w:color="auto" w:fill="auto"/>
            <w:noWrap/>
            <w:vAlign w:val="bottom"/>
            <w:hideMark/>
          </w:tcPr>
          <w:p w:rsidR="002E1D9D" w:rsidRPr="002E1D9D" w:rsidRDefault="002E1D9D" w:rsidP="002E1D9D">
            <w:pPr>
              <w:rPr>
                <w:rFonts w:ascii="Arial" w:hAnsi="Arial" w:cs="Arial"/>
                <w:color w:val="002060"/>
                <w:sz w:val="18"/>
                <w:szCs w:val="18"/>
              </w:rPr>
            </w:pPr>
          </w:p>
        </w:tc>
        <w:tc>
          <w:tcPr>
            <w:tcW w:w="1265" w:type="dxa"/>
            <w:tcBorders>
              <w:top w:val="nil"/>
              <w:left w:val="nil"/>
              <w:bottom w:val="nil"/>
              <w:right w:val="nil"/>
            </w:tcBorders>
            <w:shd w:val="clear" w:color="auto" w:fill="auto"/>
            <w:noWrap/>
            <w:vAlign w:val="bottom"/>
            <w:hideMark/>
          </w:tcPr>
          <w:p w:rsidR="002E1D9D" w:rsidRPr="002E1D9D" w:rsidRDefault="002E1D9D" w:rsidP="002E1D9D">
            <w:pPr>
              <w:rPr>
                <w:rFonts w:ascii="Arial" w:hAnsi="Arial" w:cs="Arial"/>
                <w:color w:val="002060"/>
                <w:sz w:val="18"/>
                <w:szCs w:val="18"/>
              </w:rPr>
            </w:pPr>
          </w:p>
        </w:tc>
        <w:tc>
          <w:tcPr>
            <w:tcW w:w="1265" w:type="dxa"/>
            <w:tcBorders>
              <w:top w:val="nil"/>
              <w:left w:val="nil"/>
              <w:bottom w:val="nil"/>
              <w:right w:val="nil"/>
            </w:tcBorders>
            <w:shd w:val="clear" w:color="auto" w:fill="auto"/>
            <w:noWrap/>
            <w:vAlign w:val="bottom"/>
            <w:hideMark/>
          </w:tcPr>
          <w:p w:rsidR="002E1D9D" w:rsidRPr="002E1D9D" w:rsidRDefault="002E1D9D" w:rsidP="002E1D9D">
            <w:pPr>
              <w:rPr>
                <w:rFonts w:ascii="Arial" w:hAnsi="Arial" w:cs="Arial"/>
                <w:color w:val="002060"/>
                <w:sz w:val="18"/>
                <w:szCs w:val="18"/>
              </w:rPr>
            </w:pPr>
          </w:p>
        </w:tc>
        <w:tc>
          <w:tcPr>
            <w:tcW w:w="1265" w:type="dxa"/>
            <w:tcBorders>
              <w:top w:val="nil"/>
              <w:left w:val="nil"/>
              <w:bottom w:val="nil"/>
              <w:right w:val="nil"/>
            </w:tcBorders>
            <w:shd w:val="clear" w:color="auto" w:fill="auto"/>
            <w:noWrap/>
            <w:vAlign w:val="bottom"/>
            <w:hideMark/>
          </w:tcPr>
          <w:p w:rsidR="002E1D9D" w:rsidRPr="002E1D9D" w:rsidRDefault="002E1D9D" w:rsidP="002E1D9D">
            <w:pPr>
              <w:rPr>
                <w:rFonts w:ascii="Arial" w:hAnsi="Arial" w:cs="Arial"/>
                <w:color w:val="002060"/>
                <w:sz w:val="18"/>
                <w:szCs w:val="18"/>
              </w:rPr>
            </w:pPr>
          </w:p>
        </w:tc>
      </w:tr>
      <w:tr w:rsidR="002E1D9D" w:rsidRPr="002E1D9D" w:rsidTr="002E1D9D">
        <w:trPr>
          <w:trHeight w:val="205"/>
        </w:trPr>
        <w:tc>
          <w:tcPr>
            <w:tcW w:w="679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SALDO AJUSTAT INICI DEL EXERCICI 2018</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30000</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128852</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-2031</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33439</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-4366</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185894</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I. Total ingressos i despeses reconegudes</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34795</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-294</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34501</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II. Operacions amb socis i propietaris</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26444</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273</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-33439</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-6722</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xml:space="preserve">  Distribució de dividends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xml:space="preserve"> Altres operacions amb socis i propietaris</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26346</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-33439</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-7093</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xml:space="preserve">  Operacions amb accions o participacions pròpies (netes)</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98</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273</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371</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III. Altres variacions del patrimoni net</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869</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-3954</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-3085</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000000" w:fill="E7E6E6"/>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SALDO FINAL EXERCICI 2018</w:t>
            </w:r>
          </w:p>
        </w:tc>
        <w:tc>
          <w:tcPr>
            <w:tcW w:w="1265"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30000</w:t>
            </w:r>
          </w:p>
        </w:tc>
        <w:tc>
          <w:tcPr>
            <w:tcW w:w="1265"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156165</w:t>
            </w:r>
          </w:p>
        </w:tc>
        <w:tc>
          <w:tcPr>
            <w:tcW w:w="1480"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-1758</w:t>
            </w:r>
          </w:p>
        </w:tc>
        <w:tc>
          <w:tcPr>
            <w:tcW w:w="1265"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34795</w:t>
            </w:r>
          </w:p>
        </w:tc>
        <w:tc>
          <w:tcPr>
            <w:tcW w:w="1265"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-8614</w:t>
            </w:r>
          </w:p>
        </w:tc>
        <w:tc>
          <w:tcPr>
            <w:tcW w:w="1265"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210588</w:t>
            </w:r>
          </w:p>
        </w:tc>
      </w:tr>
      <w:tr w:rsidR="002E1D9D" w:rsidRPr="002E1D9D" w:rsidTr="002E1D9D">
        <w:trPr>
          <w:trHeight w:val="217"/>
        </w:trPr>
        <w:tc>
          <w:tcPr>
            <w:tcW w:w="6797" w:type="dxa"/>
            <w:tcBorders>
              <w:top w:val="nil"/>
              <w:left w:val="nil"/>
              <w:bottom w:val="nil"/>
              <w:right w:val="nil"/>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p>
        </w:tc>
        <w:tc>
          <w:tcPr>
            <w:tcW w:w="1265" w:type="dxa"/>
            <w:tcBorders>
              <w:top w:val="nil"/>
              <w:left w:val="nil"/>
              <w:bottom w:val="nil"/>
              <w:right w:val="nil"/>
            </w:tcBorders>
            <w:shd w:val="clear" w:color="auto" w:fill="auto"/>
            <w:noWrap/>
            <w:vAlign w:val="bottom"/>
            <w:hideMark/>
          </w:tcPr>
          <w:p w:rsidR="002E1D9D" w:rsidRPr="002E1D9D" w:rsidRDefault="002E1D9D" w:rsidP="002E1D9D">
            <w:pPr>
              <w:rPr>
                <w:rFonts w:ascii="Arial" w:hAnsi="Arial" w:cs="Arial"/>
                <w:color w:val="002060"/>
                <w:sz w:val="18"/>
                <w:szCs w:val="18"/>
              </w:rPr>
            </w:pPr>
          </w:p>
        </w:tc>
        <w:tc>
          <w:tcPr>
            <w:tcW w:w="1265" w:type="dxa"/>
            <w:tcBorders>
              <w:top w:val="nil"/>
              <w:left w:val="nil"/>
              <w:bottom w:val="nil"/>
              <w:right w:val="nil"/>
            </w:tcBorders>
            <w:shd w:val="clear" w:color="auto" w:fill="auto"/>
            <w:noWrap/>
            <w:vAlign w:val="bottom"/>
            <w:hideMark/>
          </w:tcPr>
          <w:p w:rsidR="002E1D9D" w:rsidRPr="002E1D9D" w:rsidRDefault="002E1D9D" w:rsidP="002E1D9D">
            <w:pPr>
              <w:rPr>
                <w:rFonts w:ascii="Arial" w:hAnsi="Arial" w:cs="Arial"/>
                <w:color w:val="002060"/>
                <w:sz w:val="18"/>
                <w:szCs w:val="18"/>
              </w:rPr>
            </w:pPr>
          </w:p>
        </w:tc>
        <w:tc>
          <w:tcPr>
            <w:tcW w:w="1480" w:type="dxa"/>
            <w:tcBorders>
              <w:top w:val="nil"/>
              <w:left w:val="nil"/>
              <w:bottom w:val="nil"/>
              <w:right w:val="nil"/>
            </w:tcBorders>
            <w:shd w:val="clear" w:color="auto" w:fill="auto"/>
            <w:noWrap/>
            <w:vAlign w:val="bottom"/>
            <w:hideMark/>
          </w:tcPr>
          <w:p w:rsidR="002E1D9D" w:rsidRPr="002E1D9D" w:rsidRDefault="002E1D9D" w:rsidP="002E1D9D">
            <w:pPr>
              <w:rPr>
                <w:rFonts w:ascii="Arial" w:hAnsi="Arial" w:cs="Arial"/>
                <w:color w:val="002060"/>
                <w:sz w:val="18"/>
                <w:szCs w:val="18"/>
              </w:rPr>
            </w:pPr>
          </w:p>
        </w:tc>
        <w:tc>
          <w:tcPr>
            <w:tcW w:w="1265" w:type="dxa"/>
            <w:tcBorders>
              <w:top w:val="nil"/>
              <w:left w:val="nil"/>
              <w:bottom w:val="nil"/>
              <w:right w:val="nil"/>
            </w:tcBorders>
            <w:shd w:val="clear" w:color="auto" w:fill="auto"/>
            <w:noWrap/>
            <w:vAlign w:val="bottom"/>
            <w:hideMark/>
          </w:tcPr>
          <w:p w:rsidR="002E1D9D" w:rsidRPr="002E1D9D" w:rsidRDefault="002E1D9D" w:rsidP="002E1D9D">
            <w:pPr>
              <w:rPr>
                <w:rFonts w:ascii="Arial" w:hAnsi="Arial" w:cs="Arial"/>
                <w:color w:val="002060"/>
                <w:sz w:val="18"/>
                <w:szCs w:val="18"/>
              </w:rPr>
            </w:pPr>
          </w:p>
        </w:tc>
        <w:tc>
          <w:tcPr>
            <w:tcW w:w="1265" w:type="dxa"/>
            <w:tcBorders>
              <w:top w:val="nil"/>
              <w:left w:val="nil"/>
              <w:bottom w:val="nil"/>
              <w:right w:val="nil"/>
            </w:tcBorders>
            <w:shd w:val="clear" w:color="auto" w:fill="auto"/>
            <w:noWrap/>
            <w:vAlign w:val="bottom"/>
            <w:hideMark/>
          </w:tcPr>
          <w:p w:rsidR="002E1D9D" w:rsidRPr="002E1D9D" w:rsidRDefault="002E1D9D" w:rsidP="002E1D9D">
            <w:pPr>
              <w:rPr>
                <w:rFonts w:ascii="Arial" w:hAnsi="Arial" w:cs="Arial"/>
                <w:color w:val="002060"/>
                <w:sz w:val="18"/>
                <w:szCs w:val="18"/>
              </w:rPr>
            </w:pPr>
          </w:p>
        </w:tc>
        <w:tc>
          <w:tcPr>
            <w:tcW w:w="1265" w:type="dxa"/>
            <w:tcBorders>
              <w:top w:val="nil"/>
              <w:left w:val="nil"/>
              <w:bottom w:val="nil"/>
              <w:right w:val="nil"/>
            </w:tcBorders>
            <w:shd w:val="clear" w:color="auto" w:fill="auto"/>
            <w:noWrap/>
            <w:vAlign w:val="bottom"/>
            <w:hideMark/>
          </w:tcPr>
          <w:p w:rsidR="002E1D9D" w:rsidRPr="002E1D9D" w:rsidRDefault="002E1D9D" w:rsidP="002E1D9D">
            <w:pPr>
              <w:rPr>
                <w:rFonts w:ascii="Arial" w:hAnsi="Arial" w:cs="Arial"/>
                <w:color w:val="002060"/>
                <w:sz w:val="18"/>
                <w:szCs w:val="18"/>
              </w:rPr>
            </w:pPr>
          </w:p>
        </w:tc>
      </w:tr>
      <w:tr w:rsidR="002E1D9D" w:rsidRPr="002E1D9D" w:rsidTr="002E1D9D">
        <w:trPr>
          <w:trHeight w:val="205"/>
        </w:trPr>
        <w:tc>
          <w:tcPr>
            <w:tcW w:w="679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SALDO AJUSTAT INICI DEL EXERCICI 2017</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30000</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106957</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-2130</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29350</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-1000</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163177</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I. Total ingressos i despeses reconegudes</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33436</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29</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33468</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II. Operacions amb socis i propietaris</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22285</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99</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-29350</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-6966</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xml:space="preserve">  Distribució de dividends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xml:space="preserve"> Altres operacions amb socis i propietaris</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22285</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-29350</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-7087</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xml:space="preserve">  Operacions amb accions o participacions pròpies (netes)</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22</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99</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121</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III. Altres variacions del patrimoni net</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-390</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-3395</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-3785</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000000" w:fill="E7E6E6"/>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SALDO FINAL EXERCICI 2017</w:t>
            </w:r>
          </w:p>
        </w:tc>
        <w:tc>
          <w:tcPr>
            <w:tcW w:w="1265"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30000</w:t>
            </w:r>
          </w:p>
        </w:tc>
        <w:tc>
          <w:tcPr>
            <w:tcW w:w="1265"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128852</w:t>
            </w:r>
          </w:p>
        </w:tc>
        <w:tc>
          <w:tcPr>
            <w:tcW w:w="1480"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-2031</w:t>
            </w:r>
          </w:p>
        </w:tc>
        <w:tc>
          <w:tcPr>
            <w:tcW w:w="1265"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33439</w:t>
            </w:r>
          </w:p>
        </w:tc>
        <w:tc>
          <w:tcPr>
            <w:tcW w:w="1265"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-4366</w:t>
            </w:r>
          </w:p>
        </w:tc>
        <w:tc>
          <w:tcPr>
            <w:tcW w:w="1265"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185894</w:t>
            </w:r>
          </w:p>
        </w:tc>
      </w:tr>
      <w:tr w:rsidR="002E1D9D" w:rsidRPr="002E1D9D" w:rsidTr="002E1D9D">
        <w:trPr>
          <w:trHeight w:val="217"/>
        </w:trPr>
        <w:tc>
          <w:tcPr>
            <w:tcW w:w="6797" w:type="dxa"/>
            <w:tcBorders>
              <w:top w:val="nil"/>
              <w:left w:val="nil"/>
              <w:bottom w:val="nil"/>
              <w:right w:val="nil"/>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p>
        </w:tc>
        <w:tc>
          <w:tcPr>
            <w:tcW w:w="1265" w:type="dxa"/>
            <w:tcBorders>
              <w:top w:val="nil"/>
              <w:left w:val="nil"/>
              <w:bottom w:val="nil"/>
              <w:right w:val="nil"/>
            </w:tcBorders>
            <w:shd w:val="clear" w:color="auto" w:fill="auto"/>
            <w:noWrap/>
            <w:vAlign w:val="bottom"/>
            <w:hideMark/>
          </w:tcPr>
          <w:p w:rsidR="002E1D9D" w:rsidRPr="002E1D9D" w:rsidRDefault="002E1D9D" w:rsidP="002E1D9D">
            <w:pPr>
              <w:rPr>
                <w:rFonts w:ascii="Arial" w:hAnsi="Arial" w:cs="Arial"/>
                <w:color w:val="002060"/>
                <w:sz w:val="18"/>
                <w:szCs w:val="18"/>
              </w:rPr>
            </w:pPr>
          </w:p>
        </w:tc>
        <w:tc>
          <w:tcPr>
            <w:tcW w:w="1265" w:type="dxa"/>
            <w:tcBorders>
              <w:top w:val="nil"/>
              <w:left w:val="nil"/>
              <w:bottom w:val="nil"/>
              <w:right w:val="nil"/>
            </w:tcBorders>
            <w:shd w:val="clear" w:color="auto" w:fill="auto"/>
            <w:noWrap/>
            <w:vAlign w:val="bottom"/>
            <w:hideMark/>
          </w:tcPr>
          <w:p w:rsidR="002E1D9D" w:rsidRPr="002E1D9D" w:rsidRDefault="002E1D9D" w:rsidP="002E1D9D">
            <w:pPr>
              <w:rPr>
                <w:rFonts w:ascii="Arial" w:hAnsi="Arial" w:cs="Arial"/>
                <w:color w:val="002060"/>
                <w:sz w:val="18"/>
                <w:szCs w:val="18"/>
              </w:rPr>
            </w:pPr>
          </w:p>
        </w:tc>
        <w:tc>
          <w:tcPr>
            <w:tcW w:w="1480" w:type="dxa"/>
            <w:tcBorders>
              <w:top w:val="nil"/>
              <w:left w:val="nil"/>
              <w:bottom w:val="nil"/>
              <w:right w:val="nil"/>
            </w:tcBorders>
            <w:shd w:val="clear" w:color="auto" w:fill="auto"/>
            <w:noWrap/>
            <w:vAlign w:val="bottom"/>
            <w:hideMark/>
          </w:tcPr>
          <w:p w:rsidR="002E1D9D" w:rsidRPr="002E1D9D" w:rsidRDefault="002E1D9D" w:rsidP="002E1D9D">
            <w:pPr>
              <w:rPr>
                <w:rFonts w:ascii="Arial" w:hAnsi="Arial" w:cs="Arial"/>
                <w:color w:val="002060"/>
                <w:sz w:val="18"/>
                <w:szCs w:val="18"/>
              </w:rPr>
            </w:pPr>
          </w:p>
        </w:tc>
        <w:tc>
          <w:tcPr>
            <w:tcW w:w="1265" w:type="dxa"/>
            <w:tcBorders>
              <w:top w:val="nil"/>
              <w:left w:val="nil"/>
              <w:bottom w:val="nil"/>
              <w:right w:val="nil"/>
            </w:tcBorders>
            <w:shd w:val="clear" w:color="auto" w:fill="auto"/>
            <w:noWrap/>
            <w:vAlign w:val="bottom"/>
            <w:hideMark/>
          </w:tcPr>
          <w:p w:rsidR="002E1D9D" w:rsidRPr="002E1D9D" w:rsidRDefault="002E1D9D" w:rsidP="002E1D9D">
            <w:pPr>
              <w:rPr>
                <w:rFonts w:ascii="Arial" w:hAnsi="Arial" w:cs="Arial"/>
                <w:color w:val="002060"/>
                <w:sz w:val="18"/>
                <w:szCs w:val="18"/>
              </w:rPr>
            </w:pPr>
          </w:p>
        </w:tc>
        <w:tc>
          <w:tcPr>
            <w:tcW w:w="1265" w:type="dxa"/>
            <w:tcBorders>
              <w:top w:val="nil"/>
              <w:left w:val="nil"/>
              <w:bottom w:val="nil"/>
              <w:right w:val="nil"/>
            </w:tcBorders>
            <w:shd w:val="clear" w:color="auto" w:fill="auto"/>
            <w:noWrap/>
            <w:vAlign w:val="bottom"/>
            <w:hideMark/>
          </w:tcPr>
          <w:p w:rsidR="002E1D9D" w:rsidRPr="002E1D9D" w:rsidRDefault="002E1D9D" w:rsidP="002E1D9D">
            <w:pPr>
              <w:rPr>
                <w:rFonts w:ascii="Arial" w:hAnsi="Arial" w:cs="Arial"/>
                <w:color w:val="002060"/>
                <w:sz w:val="18"/>
                <w:szCs w:val="18"/>
              </w:rPr>
            </w:pPr>
          </w:p>
        </w:tc>
        <w:tc>
          <w:tcPr>
            <w:tcW w:w="1265" w:type="dxa"/>
            <w:tcBorders>
              <w:top w:val="nil"/>
              <w:left w:val="nil"/>
              <w:bottom w:val="nil"/>
              <w:right w:val="nil"/>
            </w:tcBorders>
            <w:shd w:val="clear" w:color="auto" w:fill="auto"/>
            <w:noWrap/>
            <w:vAlign w:val="bottom"/>
            <w:hideMark/>
          </w:tcPr>
          <w:p w:rsidR="002E1D9D" w:rsidRPr="002E1D9D" w:rsidRDefault="002E1D9D" w:rsidP="002E1D9D">
            <w:pPr>
              <w:rPr>
                <w:rFonts w:ascii="Arial" w:hAnsi="Arial" w:cs="Arial"/>
                <w:color w:val="002060"/>
                <w:sz w:val="18"/>
                <w:szCs w:val="18"/>
              </w:rPr>
            </w:pPr>
          </w:p>
        </w:tc>
      </w:tr>
      <w:tr w:rsidR="002E1D9D" w:rsidRPr="002E1D9D" w:rsidTr="002E1D9D">
        <w:trPr>
          <w:trHeight w:val="205"/>
        </w:trPr>
        <w:tc>
          <w:tcPr>
            <w:tcW w:w="679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SALDO AJUSTAT INICI DEL EXERCICI 2016</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30000</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85654</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-2210</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28912</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-2436</w:t>
            </w:r>
          </w:p>
        </w:tc>
        <w:tc>
          <w:tcPr>
            <w:tcW w:w="1265" w:type="dxa"/>
            <w:tcBorders>
              <w:top w:val="single" w:sz="8" w:space="0" w:color="auto"/>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139920</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I. Total ingressos i despeses reconegudes</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29350</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-100</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29250</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II. Operacions amb socis i propietaris</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21830</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80</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-28912</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-7002</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xml:space="preserve">  Distribució de dividends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-2282</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xml:space="preserve"> Altres operacions amb socis i propietaris</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21830</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-28912</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-7082</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xml:space="preserve">  Operacions amb accions o participacions pròpies (netes)</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79</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80</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color w:val="002060"/>
                <w:sz w:val="18"/>
                <w:szCs w:val="18"/>
              </w:rPr>
            </w:pPr>
            <w:r w:rsidRPr="002E1D9D">
              <w:rPr>
                <w:rFonts w:ascii="Arial" w:hAnsi="Arial" w:cs="Arial"/>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color w:val="002060"/>
                <w:sz w:val="18"/>
                <w:szCs w:val="18"/>
              </w:rPr>
            </w:pPr>
            <w:r w:rsidRPr="002E1D9D">
              <w:rPr>
                <w:rFonts w:ascii="Arial" w:hAnsi="Arial" w:cs="Arial"/>
                <w:color w:val="002060"/>
                <w:sz w:val="18"/>
                <w:szCs w:val="18"/>
              </w:rPr>
              <w:t>80</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III. Altres variacions del patrimoni net</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-527</w:t>
            </w:r>
          </w:p>
        </w:tc>
        <w:tc>
          <w:tcPr>
            <w:tcW w:w="1480"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 </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1536</w:t>
            </w:r>
          </w:p>
        </w:tc>
        <w:tc>
          <w:tcPr>
            <w:tcW w:w="1265" w:type="dxa"/>
            <w:tcBorders>
              <w:top w:val="nil"/>
              <w:left w:val="nil"/>
              <w:bottom w:val="single" w:sz="4" w:space="0" w:color="auto"/>
              <w:right w:val="single" w:sz="4" w:space="0" w:color="auto"/>
            </w:tcBorders>
            <w:shd w:val="clear" w:color="auto" w:fill="auto"/>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1009</w:t>
            </w:r>
          </w:p>
        </w:tc>
      </w:tr>
      <w:tr w:rsidR="002E1D9D" w:rsidRPr="002E1D9D" w:rsidTr="002E1D9D">
        <w:trPr>
          <w:trHeight w:val="205"/>
        </w:trPr>
        <w:tc>
          <w:tcPr>
            <w:tcW w:w="6797" w:type="dxa"/>
            <w:tcBorders>
              <w:top w:val="nil"/>
              <w:left w:val="single" w:sz="4" w:space="0" w:color="auto"/>
              <w:bottom w:val="single" w:sz="4" w:space="0" w:color="auto"/>
              <w:right w:val="single" w:sz="4" w:space="0" w:color="auto"/>
            </w:tcBorders>
            <w:shd w:val="clear" w:color="000000" w:fill="E7E6E6"/>
            <w:noWrap/>
            <w:vAlign w:val="bottom"/>
            <w:hideMark/>
          </w:tcPr>
          <w:p w:rsidR="002E1D9D" w:rsidRPr="002E1D9D" w:rsidRDefault="002E1D9D" w:rsidP="002E1D9D">
            <w:pPr>
              <w:rPr>
                <w:rFonts w:ascii="Arial" w:hAnsi="Arial" w:cs="Arial"/>
                <w:b/>
                <w:bCs/>
                <w:color w:val="002060"/>
                <w:sz w:val="18"/>
                <w:szCs w:val="18"/>
              </w:rPr>
            </w:pPr>
            <w:r w:rsidRPr="002E1D9D">
              <w:rPr>
                <w:rFonts w:ascii="Arial" w:hAnsi="Arial" w:cs="Arial"/>
                <w:b/>
                <w:bCs/>
                <w:color w:val="002060"/>
                <w:sz w:val="18"/>
                <w:szCs w:val="18"/>
              </w:rPr>
              <w:t>SALDO FINAL EXERCICI 2016</w:t>
            </w:r>
          </w:p>
        </w:tc>
        <w:tc>
          <w:tcPr>
            <w:tcW w:w="1265"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30000</w:t>
            </w:r>
          </w:p>
        </w:tc>
        <w:tc>
          <w:tcPr>
            <w:tcW w:w="1265"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106957</w:t>
            </w:r>
          </w:p>
        </w:tc>
        <w:tc>
          <w:tcPr>
            <w:tcW w:w="1480"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-2130</w:t>
            </w:r>
          </w:p>
        </w:tc>
        <w:tc>
          <w:tcPr>
            <w:tcW w:w="1265"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29350</w:t>
            </w:r>
          </w:p>
        </w:tc>
        <w:tc>
          <w:tcPr>
            <w:tcW w:w="1265"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-1000</w:t>
            </w:r>
          </w:p>
        </w:tc>
        <w:tc>
          <w:tcPr>
            <w:tcW w:w="1265" w:type="dxa"/>
            <w:tcBorders>
              <w:top w:val="nil"/>
              <w:left w:val="nil"/>
              <w:bottom w:val="single" w:sz="4" w:space="0" w:color="auto"/>
              <w:right w:val="single" w:sz="4" w:space="0" w:color="auto"/>
            </w:tcBorders>
            <w:shd w:val="clear" w:color="000000" w:fill="E7E6E6"/>
            <w:noWrap/>
            <w:vAlign w:val="bottom"/>
            <w:hideMark/>
          </w:tcPr>
          <w:p w:rsidR="002E1D9D" w:rsidRPr="002E1D9D" w:rsidRDefault="002E1D9D" w:rsidP="002E1D9D">
            <w:pPr>
              <w:jc w:val="right"/>
              <w:rPr>
                <w:rFonts w:ascii="Arial" w:hAnsi="Arial" w:cs="Arial"/>
                <w:b/>
                <w:bCs/>
                <w:color w:val="002060"/>
                <w:sz w:val="18"/>
                <w:szCs w:val="18"/>
              </w:rPr>
            </w:pPr>
            <w:r w:rsidRPr="002E1D9D">
              <w:rPr>
                <w:rFonts w:ascii="Arial" w:hAnsi="Arial" w:cs="Arial"/>
                <w:b/>
                <w:bCs/>
                <w:color w:val="002060"/>
                <w:sz w:val="18"/>
                <w:szCs w:val="18"/>
              </w:rPr>
              <w:t>163177</w:t>
            </w:r>
          </w:p>
        </w:tc>
      </w:tr>
    </w:tbl>
    <w:p w:rsidR="003F4BB5" w:rsidRPr="00A12F82" w:rsidRDefault="00937A94" w:rsidP="002D48FA">
      <w:pPr>
        <w:jc w:val="both"/>
        <w:rPr>
          <w:rFonts w:ascii="Arial" w:hAnsi="Arial" w:cs="Arial"/>
          <w:color w:val="002060"/>
          <w:sz w:val="14"/>
          <w:szCs w:val="14"/>
        </w:rPr>
        <w:sectPr w:rsidR="003F4BB5" w:rsidRPr="00A12F82" w:rsidSect="002E1D9D">
          <w:pgSz w:w="16817" w:h="11901" w:orient="landscape"/>
          <w:pgMar w:top="1272" w:right="1440" w:bottom="1321" w:left="1440" w:header="709" w:footer="709" w:gutter="0"/>
          <w:cols w:space="708"/>
          <w:docGrid w:linePitch="360"/>
        </w:sectPr>
      </w:pPr>
      <w:r w:rsidRPr="00A12F82">
        <w:rPr>
          <w:rFonts w:ascii="Arial" w:hAnsi="Arial" w:cs="Arial"/>
          <w:color w:val="002060"/>
          <w:sz w:val="14"/>
          <w:szCs w:val="14"/>
        </w:rPr>
        <w:t>Font: Elaboració pròpia a partir de</w:t>
      </w:r>
      <w:r w:rsidR="002E1D9D" w:rsidRPr="00A12F82">
        <w:rPr>
          <w:rFonts w:ascii="Arial" w:hAnsi="Arial" w:cs="Arial"/>
          <w:color w:val="002060"/>
          <w:sz w:val="14"/>
          <w:szCs w:val="14"/>
        </w:rPr>
        <w:t xml:space="preserve">ls comptes anuals </w:t>
      </w:r>
      <w:r w:rsidR="006012D2" w:rsidRPr="00A12F82">
        <w:rPr>
          <w:rFonts w:ascii="Arial" w:hAnsi="Arial" w:cs="Arial"/>
          <w:color w:val="002060"/>
          <w:sz w:val="14"/>
          <w:szCs w:val="14"/>
        </w:rPr>
        <w:t>dipositats</w:t>
      </w:r>
      <w:r w:rsidR="002E1D9D" w:rsidRPr="00A12F82">
        <w:rPr>
          <w:rFonts w:ascii="Arial" w:hAnsi="Arial" w:cs="Arial"/>
          <w:color w:val="002060"/>
          <w:sz w:val="14"/>
          <w:szCs w:val="14"/>
        </w:rPr>
        <w:t xml:space="preserve"> al</w:t>
      </w:r>
      <w:r w:rsidRPr="00A12F82">
        <w:rPr>
          <w:rFonts w:ascii="Arial" w:hAnsi="Arial" w:cs="Arial"/>
          <w:color w:val="002060"/>
          <w:sz w:val="14"/>
          <w:szCs w:val="14"/>
        </w:rPr>
        <w:t xml:space="preserve"> </w:t>
      </w:r>
      <w:r w:rsidR="002E1D9D" w:rsidRPr="00A12F82">
        <w:rPr>
          <w:rFonts w:ascii="Arial" w:hAnsi="Arial" w:cs="Arial"/>
          <w:color w:val="002060"/>
          <w:sz w:val="14"/>
          <w:szCs w:val="14"/>
        </w:rPr>
        <w:t>Registre Mercantil</w:t>
      </w:r>
      <w:r w:rsidRPr="00A12F82">
        <w:rPr>
          <w:rFonts w:ascii="Arial" w:hAnsi="Arial" w:cs="Arial"/>
          <w:color w:val="002060"/>
          <w:sz w:val="14"/>
          <w:szCs w:val="14"/>
        </w:rPr>
        <w:t xml:space="preserve"> </w:t>
      </w:r>
      <w:r w:rsidR="002E1D9D" w:rsidRPr="00A12F82">
        <w:rPr>
          <w:rFonts w:ascii="Arial" w:hAnsi="Arial" w:cs="Arial"/>
          <w:color w:val="002060"/>
          <w:sz w:val="14"/>
          <w:szCs w:val="14"/>
        </w:rPr>
        <w:t>per part de</w:t>
      </w:r>
      <w:r w:rsidRPr="00A12F82">
        <w:rPr>
          <w:rFonts w:ascii="Arial" w:hAnsi="Arial" w:cs="Arial"/>
          <w:color w:val="002060"/>
          <w:sz w:val="14"/>
          <w:szCs w:val="14"/>
        </w:rPr>
        <w:t xml:space="preserve"> Laboratoris Hipra pels exercicis 201</w:t>
      </w:r>
      <w:r w:rsidR="002E1D9D" w:rsidRPr="00A12F82">
        <w:rPr>
          <w:rFonts w:ascii="Arial" w:hAnsi="Arial" w:cs="Arial"/>
          <w:color w:val="002060"/>
          <w:sz w:val="14"/>
          <w:szCs w:val="14"/>
        </w:rPr>
        <w:t>6</w:t>
      </w:r>
      <w:r w:rsidRPr="00A12F82">
        <w:rPr>
          <w:rFonts w:ascii="Arial" w:hAnsi="Arial" w:cs="Arial"/>
          <w:color w:val="002060"/>
          <w:sz w:val="14"/>
          <w:szCs w:val="14"/>
        </w:rPr>
        <w:t>-2019</w:t>
      </w:r>
      <w:r w:rsidR="006E6195" w:rsidRPr="00A12F82">
        <w:rPr>
          <w:rFonts w:ascii="Arial" w:hAnsi="Arial" w:cs="Arial"/>
          <w:color w:val="002060"/>
          <w:sz w:val="14"/>
          <w:szCs w:val="14"/>
        </w:rPr>
        <w:t>.</w:t>
      </w:r>
    </w:p>
    <w:p w:rsidR="00A12F82" w:rsidRDefault="00A12F82" w:rsidP="00A12F82">
      <w:pPr>
        <w:jc w:val="both"/>
        <w:rPr>
          <w:rFonts w:ascii="Arial" w:hAnsi="Arial" w:cs="Arial"/>
          <w:color w:val="000361"/>
          <w:sz w:val="20"/>
          <w:szCs w:val="20"/>
        </w:rPr>
      </w:pPr>
      <w:r>
        <w:rPr>
          <w:rFonts w:ascii="Arial" w:hAnsi="Arial" w:cs="Arial"/>
          <w:color w:val="000361"/>
          <w:sz w:val="20"/>
          <w:szCs w:val="20"/>
        </w:rPr>
        <w:lastRenderedPageBreak/>
        <w:t xml:space="preserve">El patrimoni net de Laboratoris Hipra experimenta un creixement important en el transcurs del període analitzat. A l’inici de l’exercici 2016 té un patrimoni de 139.920 mils d’€ i finalitza el 2019 amb 243.803 mils d’€, amb aquests 4 anys ha crescut un 74%. </w:t>
      </w:r>
    </w:p>
    <w:p w:rsidR="00A12F82" w:rsidRDefault="00A12F82" w:rsidP="00A12F82">
      <w:pPr>
        <w:jc w:val="both"/>
        <w:rPr>
          <w:rFonts w:ascii="Arial" w:hAnsi="Arial" w:cs="Arial"/>
          <w:color w:val="000361"/>
          <w:sz w:val="20"/>
          <w:szCs w:val="20"/>
        </w:rPr>
      </w:pPr>
    </w:p>
    <w:p w:rsidR="00A12F82" w:rsidRDefault="00A12F82" w:rsidP="00A12F82">
      <w:pPr>
        <w:jc w:val="both"/>
        <w:rPr>
          <w:rFonts w:ascii="Arial" w:hAnsi="Arial" w:cs="Arial"/>
          <w:color w:val="000361"/>
          <w:sz w:val="20"/>
          <w:szCs w:val="20"/>
        </w:rPr>
      </w:pPr>
      <w:r>
        <w:rPr>
          <w:rFonts w:ascii="Arial" w:hAnsi="Arial" w:cs="Arial"/>
          <w:color w:val="000361"/>
          <w:sz w:val="20"/>
          <w:szCs w:val="20"/>
        </w:rPr>
        <w:t xml:space="preserve">Com a fet destacable, l’empresa majoritàriament reinverteix el resultat de l’exercici obtingut en l’exercici anterior incrementant el patrimoni de l’empresa any </w:t>
      </w:r>
      <w:r w:rsidR="006012D2">
        <w:rPr>
          <w:rFonts w:ascii="Arial" w:hAnsi="Arial" w:cs="Arial"/>
          <w:color w:val="000361"/>
          <w:sz w:val="20"/>
          <w:szCs w:val="20"/>
        </w:rPr>
        <w:t>rere</w:t>
      </w:r>
      <w:r>
        <w:rPr>
          <w:rFonts w:ascii="Arial" w:hAnsi="Arial" w:cs="Arial"/>
          <w:color w:val="000361"/>
          <w:sz w:val="20"/>
          <w:szCs w:val="20"/>
        </w:rPr>
        <w:t xml:space="preserve"> any. Aquests són els percentatges sobre els resultats que són mantinguts a l’empresa:</w:t>
      </w:r>
    </w:p>
    <w:p w:rsidR="00A12F82" w:rsidRDefault="00A12F82" w:rsidP="00A12F82">
      <w:pPr>
        <w:jc w:val="both"/>
        <w:rPr>
          <w:rFonts w:ascii="Arial" w:hAnsi="Arial" w:cs="Arial"/>
          <w:color w:val="000361"/>
          <w:sz w:val="20"/>
          <w:szCs w:val="20"/>
        </w:rPr>
      </w:pPr>
    </w:p>
    <w:tbl>
      <w:tblPr>
        <w:tblW w:w="9387" w:type="dxa"/>
        <w:tblCellMar>
          <w:left w:w="70" w:type="dxa"/>
          <w:right w:w="70" w:type="dxa"/>
        </w:tblCellMar>
        <w:tblLook w:val="04A0" w:firstRow="1" w:lastRow="0" w:firstColumn="1" w:lastColumn="0" w:noHBand="0" w:noVBand="1"/>
      </w:tblPr>
      <w:tblGrid>
        <w:gridCol w:w="1271"/>
        <w:gridCol w:w="1271"/>
        <w:gridCol w:w="1271"/>
        <w:gridCol w:w="1271"/>
        <w:gridCol w:w="4303"/>
      </w:tblGrid>
      <w:tr w:rsidR="00A12F82" w:rsidRPr="009F1FC3" w:rsidTr="001F18B3">
        <w:trPr>
          <w:trHeight w:val="339"/>
        </w:trPr>
        <w:tc>
          <w:tcPr>
            <w:tcW w:w="9387" w:type="dxa"/>
            <w:gridSpan w:val="5"/>
            <w:shd w:val="clear" w:color="auto" w:fill="auto"/>
            <w:noWrap/>
            <w:vAlign w:val="bottom"/>
          </w:tcPr>
          <w:p w:rsidR="00A12F82" w:rsidRPr="00A12F82" w:rsidRDefault="00A12F82" w:rsidP="001F18B3">
            <w:pPr>
              <w:rPr>
                <w:rFonts w:ascii="Arial" w:hAnsi="Arial" w:cs="Arial"/>
                <w:b/>
                <w:bCs/>
                <w:color w:val="002060"/>
                <w:sz w:val="20"/>
                <w:szCs w:val="20"/>
              </w:rPr>
            </w:pPr>
            <w:r w:rsidRPr="00A12F82">
              <w:rPr>
                <w:rFonts w:ascii="Arial" w:hAnsi="Arial" w:cs="Arial"/>
                <w:color w:val="002060"/>
                <w:sz w:val="20"/>
                <w:szCs w:val="20"/>
              </w:rPr>
              <w:t>Taula 2.</w:t>
            </w:r>
            <w:r w:rsidR="0036789D">
              <w:rPr>
                <w:rFonts w:ascii="Arial" w:hAnsi="Arial" w:cs="Arial"/>
                <w:color w:val="002060"/>
                <w:sz w:val="20"/>
                <w:szCs w:val="20"/>
              </w:rPr>
              <w:t>10</w:t>
            </w:r>
            <w:r w:rsidRPr="00A12F82">
              <w:rPr>
                <w:rFonts w:ascii="Arial" w:hAnsi="Arial" w:cs="Arial"/>
                <w:color w:val="002060"/>
                <w:sz w:val="20"/>
                <w:szCs w:val="20"/>
              </w:rPr>
              <w:t xml:space="preserve"> – Reinversió del resultat de l’exercici anterior</w:t>
            </w:r>
          </w:p>
        </w:tc>
      </w:tr>
      <w:tr w:rsidR="00A12F82" w:rsidRPr="009F1FC3" w:rsidTr="00B9202E">
        <w:trPr>
          <w:gridAfter w:val="1"/>
          <w:wAfter w:w="4303" w:type="dxa"/>
          <w:trHeight w:val="339"/>
        </w:trPr>
        <w:tc>
          <w:tcPr>
            <w:tcW w:w="1271" w:type="dxa"/>
            <w:tcBorders>
              <w:bottom w:val="single" w:sz="4" w:space="0" w:color="auto"/>
              <w:right w:val="single" w:sz="4" w:space="0" w:color="auto"/>
            </w:tcBorders>
            <w:shd w:val="clear" w:color="auto" w:fill="auto"/>
            <w:noWrap/>
            <w:vAlign w:val="bottom"/>
            <w:hideMark/>
          </w:tcPr>
          <w:p w:rsidR="00A12F82" w:rsidRPr="009F1FC3" w:rsidRDefault="00A12F82" w:rsidP="001F18B3">
            <w:pPr>
              <w:jc w:val="center"/>
              <w:rPr>
                <w:rFonts w:ascii="Arial" w:hAnsi="Arial" w:cs="Arial"/>
                <w:b/>
                <w:bCs/>
                <w:color w:val="002060"/>
                <w:sz w:val="20"/>
                <w:szCs w:val="20"/>
              </w:rPr>
            </w:pPr>
            <w:r w:rsidRPr="009F1FC3">
              <w:rPr>
                <w:rFonts w:ascii="Arial" w:hAnsi="Arial" w:cs="Arial"/>
                <w:b/>
                <w:bCs/>
                <w:color w:val="002060"/>
                <w:sz w:val="20"/>
                <w:szCs w:val="20"/>
              </w:rPr>
              <w:t>2019</w:t>
            </w:r>
          </w:p>
        </w:tc>
        <w:tc>
          <w:tcPr>
            <w:tcW w:w="1271" w:type="dxa"/>
            <w:tcBorders>
              <w:left w:val="single" w:sz="4" w:space="0" w:color="auto"/>
              <w:bottom w:val="single" w:sz="4" w:space="0" w:color="auto"/>
              <w:right w:val="single" w:sz="4" w:space="0" w:color="auto"/>
            </w:tcBorders>
            <w:shd w:val="clear" w:color="auto" w:fill="auto"/>
            <w:noWrap/>
            <w:vAlign w:val="bottom"/>
            <w:hideMark/>
          </w:tcPr>
          <w:p w:rsidR="00A12F82" w:rsidRPr="009F1FC3" w:rsidRDefault="00A12F82" w:rsidP="001F18B3">
            <w:pPr>
              <w:jc w:val="center"/>
              <w:rPr>
                <w:rFonts w:ascii="Arial" w:hAnsi="Arial" w:cs="Arial"/>
                <w:b/>
                <w:bCs/>
                <w:color w:val="002060"/>
                <w:sz w:val="20"/>
                <w:szCs w:val="20"/>
              </w:rPr>
            </w:pPr>
            <w:r w:rsidRPr="009F1FC3">
              <w:rPr>
                <w:rFonts w:ascii="Arial" w:hAnsi="Arial" w:cs="Arial"/>
                <w:b/>
                <w:bCs/>
                <w:color w:val="002060"/>
                <w:sz w:val="20"/>
                <w:szCs w:val="20"/>
              </w:rPr>
              <w:t>2018</w:t>
            </w:r>
          </w:p>
        </w:tc>
        <w:tc>
          <w:tcPr>
            <w:tcW w:w="1271" w:type="dxa"/>
            <w:tcBorders>
              <w:left w:val="single" w:sz="4" w:space="0" w:color="auto"/>
              <w:bottom w:val="single" w:sz="4" w:space="0" w:color="auto"/>
              <w:right w:val="single" w:sz="4" w:space="0" w:color="auto"/>
            </w:tcBorders>
            <w:shd w:val="clear" w:color="auto" w:fill="auto"/>
            <w:noWrap/>
            <w:vAlign w:val="bottom"/>
            <w:hideMark/>
          </w:tcPr>
          <w:p w:rsidR="00A12F82" w:rsidRPr="009F1FC3" w:rsidRDefault="00A12F82" w:rsidP="001F18B3">
            <w:pPr>
              <w:jc w:val="center"/>
              <w:rPr>
                <w:rFonts w:ascii="Arial" w:hAnsi="Arial" w:cs="Arial"/>
                <w:b/>
                <w:bCs/>
                <w:color w:val="002060"/>
                <w:sz w:val="20"/>
                <w:szCs w:val="20"/>
              </w:rPr>
            </w:pPr>
            <w:r w:rsidRPr="009F1FC3">
              <w:rPr>
                <w:rFonts w:ascii="Arial" w:hAnsi="Arial" w:cs="Arial"/>
                <w:b/>
                <w:bCs/>
                <w:color w:val="002060"/>
                <w:sz w:val="20"/>
                <w:szCs w:val="20"/>
              </w:rPr>
              <w:t>2017</w:t>
            </w:r>
          </w:p>
        </w:tc>
        <w:tc>
          <w:tcPr>
            <w:tcW w:w="1271" w:type="dxa"/>
            <w:tcBorders>
              <w:left w:val="single" w:sz="4" w:space="0" w:color="auto"/>
              <w:bottom w:val="single" w:sz="4" w:space="0" w:color="auto"/>
            </w:tcBorders>
            <w:shd w:val="clear" w:color="auto" w:fill="auto"/>
            <w:noWrap/>
            <w:vAlign w:val="bottom"/>
            <w:hideMark/>
          </w:tcPr>
          <w:p w:rsidR="00A12F82" w:rsidRPr="009F1FC3" w:rsidRDefault="00A12F82" w:rsidP="001F18B3">
            <w:pPr>
              <w:jc w:val="center"/>
              <w:rPr>
                <w:rFonts w:ascii="Arial" w:hAnsi="Arial" w:cs="Arial"/>
                <w:b/>
                <w:bCs/>
                <w:color w:val="002060"/>
                <w:sz w:val="20"/>
                <w:szCs w:val="20"/>
              </w:rPr>
            </w:pPr>
            <w:r w:rsidRPr="009F1FC3">
              <w:rPr>
                <w:rFonts w:ascii="Arial" w:hAnsi="Arial" w:cs="Arial"/>
                <w:b/>
                <w:bCs/>
                <w:color w:val="002060"/>
                <w:sz w:val="20"/>
                <w:szCs w:val="20"/>
              </w:rPr>
              <w:t>2016</w:t>
            </w:r>
          </w:p>
        </w:tc>
      </w:tr>
      <w:tr w:rsidR="00A12F82" w:rsidRPr="009F1FC3" w:rsidTr="00B9202E">
        <w:trPr>
          <w:gridAfter w:val="1"/>
          <w:wAfter w:w="4303" w:type="dxa"/>
          <w:trHeight w:val="339"/>
        </w:trPr>
        <w:tc>
          <w:tcPr>
            <w:tcW w:w="1271" w:type="dxa"/>
            <w:tcBorders>
              <w:top w:val="single" w:sz="4" w:space="0" w:color="auto"/>
              <w:right w:val="single" w:sz="4" w:space="0" w:color="auto"/>
            </w:tcBorders>
            <w:shd w:val="clear" w:color="auto" w:fill="auto"/>
            <w:noWrap/>
            <w:vAlign w:val="bottom"/>
            <w:hideMark/>
          </w:tcPr>
          <w:p w:rsidR="00A12F82" w:rsidRPr="009F1FC3" w:rsidRDefault="00A12F82" w:rsidP="001F18B3">
            <w:pPr>
              <w:jc w:val="center"/>
              <w:rPr>
                <w:rFonts w:ascii="Arial" w:hAnsi="Arial" w:cs="Arial"/>
                <w:color w:val="002060"/>
                <w:sz w:val="20"/>
                <w:szCs w:val="20"/>
              </w:rPr>
            </w:pPr>
            <w:r w:rsidRPr="009F1FC3">
              <w:rPr>
                <w:rFonts w:ascii="Arial" w:hAnsi="Arial" w:cs="Arial"/>
                <w:color w:val="002060"/>
                <w:sz w:val="20"/>
                <w:szCs w:val="20"/>
              </w:rPr>
              <w:t>76,28%</w:t>
            </w:r>
          </w:p>
        </w:tc>
        <w:tc>
          <w:tcPr>
            <w:tcW w:w="1271" w:type="dxa"/>
            <w:tcBorders>
              <w:top w:val="single" w:sz="4" w:space="0" w:color="auto"/>
              <w:left w:val="single" w:sz="4" w:space="0" w:color="auto"/>
              <w:right w:val="single" w:sz="4" w:space="0" w:color="auto"/>
            </w:tcBorders>
            <w:shd w:val="clear" w:color="auto" w:fill="auto"/>
            <w:noWrap/>
            <w:vAlign w:val="bottom"/>
            <w:hideMark/>
          </w:tcPr>
          <w:p w:rsidR="00A12F82" w:rsidRPr="009F1FC3" w:rsidRDefault="00A12F82" w:rsidP="001F18B3">
            <w:pPr>
              <w:jc w:val="center"/>
              <w:rPr>
                <w:rFonts w:ascii="Arial" w:hAnsi="Arial" w:cs="Arial"/>
                <w:color w:val="002060"/>
                <w:sz w:val="20"/>
                <w:szCs w:val="20"/>
              </w:rPr>
            </w:pPr>
            <w:r w:rsidRPr="009F1FC3">
              <w:rPr>
                <w:rFonts w:ascii="Arial" w:hAnsi="Arial" w:cs="Arial"/>
                <w:color w:val="002060"/>
                <w:sz w:val="20"/>
                <w:szCs w:val="20"/>
              </w:rPr>
              <w:t>79,90%</w:t>
            </w:r>
          </w:p>
        </w:tc>
        <w:tc>
          <w:tcPr>
            <w:tcW w:w="1271" w:type="dxa"/>
            <w:tcBorders>
              <w:top w:val="single" w:sz="4" w:space="0" w:color="auto"/>
              <w:left w:val="single" w:sz="4" w:space="0" w:color="auto"/>
              <w:right w:val="single" w:sz="4" w:space="0" w:color="auto"/>
            </w:tcBorders>
            <w:shd w:val="clear" w:color="auto" w:fill="auto"/>
            <w:noWrap/>
            <w:vAlign w:val="bottom"/>
            <w:hideMark/>
          </w:tcPr>
          <w:p w:rsidR="00A12F82" w:rsidRPr="009F1FC3" w:rsidRDefault="00A12F82" w:rsidP="001F18B3">
            <w:pPr>
              <w:jc w:val="center"/>
              <w:rPr>
                <w:rFonts w:ascii="Arial" w:hAnsi="Arial" w:cs="Arial"/>
                <w:color w:val="002060"/>
                <w:sz w:val="20"/>
                <w:szCs w:val="20"/>
              </w:rPr>
            </w:pPr>
            <w:r w:rsidRPr="009F1FC3">
              <w:rPr>
                <w:rFonts w:ascii="Arial" w:hAnsi="Arial" w:cs="Arial"/>
                <w:color w:val="002060"/>
                <w:sz w:val="20"/>
                <w:szCs w:val="20"/>
              </w:rPr>
              <w:t>76,27%</w:t>
            </w:r>
          </w:p>
        </w:tc>
        <w:tc>
          <w:tcPr>
            <w:tcW w:w="1271" w:type="dxa"/>
            <w:tcBorders>
              <w:top w:val="single" w:sz="4" w:space="0" w:color="auto"/>
              <w:left w:val="single" w:sz="4" w:space="0" w:color="auto"/>
            </w:tcBorders>
            <w:shd w:val="clear" w:color="auto" w:fill="auto"/>
            <w:noWrap/>
            <w:vAlign w:val="bottom"/>
            <w:hideMark/>
          </w:tcPr>
          <w:p w:rsidR="00A12F82" w:rsidRPr="009F1FC3" w:rsidRDefault="00A12F82" w:rsidP="001F18B3">
            <w:pPr>
              <w:jc w:val="center"/>
              <w:rPr>
                <w:rFonts w:ascii="Arial" w:hAnsi="Arial" w:cs="Arial"/>
                <w:color w:val="002060"/>
                <w:sz w:val="20"/>
                <w:szCs w:val="20"/>
              </w:rPr>
            </w:pPr>
            <w:r w:rsidRPr="009F1FC3">
              <w:rPr>
                <w:rFonts w:ascii="Arial" w:hAnsi="Arial" w:cs="Arial"/>
                <w:color w:val="002060"/>
                <w:sz w:val="20"/>
                <w:szCs w:val="20"/>
              </w:rPr>
              <w:t>75,78%</w:t>
            </w:r>
          </w:p>
        </w:tc>
      </w:tr>
      <w:tr w:rsidR="00A12F82" w:rsidRPr="009F1FC3" w:rsidTr="00B9202E">
        <w:trPr>
          <w:gridAfter w:val="1"/>
          <w:wAfter w:w="4303" w:type="dxa"/>
          <w:trHeight w:val="339"/>
        </w:trPr>
        <w:tc>
          <w:tcPr>
            <w:tcW w:w="5084" w:type="dxa"/>
            <w:gridSpan w:val="4"/>
            <w:shd w:val="clear" w:color="auto" w:fill="auto"/>
            <w:noWrap/>
            <w:vAlign w:val="bottom"/>
          </w:tcPr>
          <w:p w:rsidR="00A12F82" w:rsidRPr="00A12F82" w:rsidRDefault="00A12F82" w:rsidP="001F18B3">
            <w:pPr>
              <w:rPr>
                <w:rFonts w:ascii="Arial" w:hAnsi="Arial" w:cs="Arial"/>
                <w:color w:val="002060"/>
                <w:sz w:val="14"/>
                <w:szCs w:val="14"/>
              </w:rPr>
            </w:pPr>
            <w:r w:rsidRPr="0036789D">
              <w:rPr>
                <w:rFonts w:ascii="Arial" w:hAnsi="Arial" w:cs="Arial"/>
                <w:color w:val="002060"/>
                <w:sz w:val="14"/>
                <w:szCs w:val="14"/>
              </w:rPr>
              <w:t>Font: Elaboració pròpia a partir de les dades de l’ECPN de Laboratoris Hipra</w:t>
            </w:r>
          </w:p>
        </w:tc>
      </w:tr>
    </w:tbl>
    <w:p w:rsidR="00A12F82" w:rsidRDefault="00A12F82" w:rsidP="00A12F82">
      <w:pPr>
        <w:jc w:val="both"/>
        <w:rPr>
          <w:rFonts w:ascii="Arial" w:hAnsi="Arial" w:cs="Arial"/>
          <w:color w:val="000361"/>
          <w:sz w:val="20"/>
          <w:szCs w:val="20"/>
        </w:rPr>
      </w:pPr>
      <w:r>
        <w:rPr>
          <w:rFonts w:ascii="Arial" w:hAnsi="Arial" w:cs="Arial"/>
          <w:color w:val="000361"/>
          <w:sz w:val="20"/>
          <w:szCs w:val="20"/>
        </w:rPr>
        <w:t xml:space="preserve"> </w:t>
      </w:r>
    </w:p>
    <w:p w:rsidR="00A12F82" w:rsidRDefault="00A12F82" w:rsidP="00A12F82">
      <w:pPr>
        <w:jc w:val="both"/>
        <w:rPr>
          <w:rFonts w:ascii="Arial" w:hAnsi="Arial" w:cs="Arial"/>
          <w:color w:val="000361"/>
          <w:sz w:val="20"/>
          <w:szCs w:val="20"/>
        </w:rPr>
      </w:pPr>
      <w:r>
        <w:rPr>
          <w:rFonts w:ascii="Arial" w:hAnsi="Arial" w:cs="Arial"/>
          <w:color w:val="000361"/>
          <w:sz w:val="20"/>
          <w:szCs w:val="20"/>
        </w:rPr>
        <w:t xml:space="preserve">El percentatge del resultat que no passa a incrementar el patrimoni a través de les reserves es destina a “altres operacions amb socis i propietaris” l’exercici 2017 i 2018 mentre que l’any 2016 i 2019 l’import no reinvertit a l’empresa passa a ser </w:t>
      </w:r>
      <w:r w:rsidR="006012D2">
        <w:rPr>
          <w:rFonts w:ascii="Arial" w:hAnsi="Arial" w:cs="Arial"/>
          <w:color w:val="000361"/>
          <w:sz w:val="20"/>
          <w:szCs w:val="20"/>
        </w:rPr>
        <w:t>distribuït</w:t>
      </w:r>
      <w:r>
        <w:rPr>
          <w:rFonts w:ascii="Arial" w:hAnsi="Arial" w:cs="Arial"/>
          <w:color w:val="000361"/>
          <w:sz w:val="20"/>
          <w:szCs w:val="20"/>
        </w:rPr>
        <w:t xml:space="preserve"> en forma de dividends.</w:t>
      </w:r>
    </w:p>
    <w:p w:rsidR="00A12F82" w:rsidRDefault="00A12F82" w:rsidP="002D48FA">
      <w:pPr>
        <w:jc w:val="both"/>
        <w:rPr>
          <w:rFonts w:ascii="Arial" w:hAnsi="Arial" w:cs="Arial"/>
          <w:b/>
          <w:color w:val="000361"/>
        </w:rPr>
      </w:pPr>
    </w:p>
    <w:p w:rsidR="00AB387A" w:rsidRPr="0017266E" w:rsidRDefault="00106DD6" w:rsidP="002D48FA">
      <w:pPr>
        <w:jc w:val="both"/>
        <w:rPr>
          <w:rFonts w:ascii="Arial" w:hAnsi="Arial" w:cs="Arial"/>
          <w:b/>
          <w:color w:val="000361"/>
        </w:rPr>
      </w:pPr>
      <w:r w:rsidRPr="0017266E">
        <w:rPr>
          <w:rFonts w:ascii="Arial" w:hAnsi="Arial" w:cs="Arial"/>
          <w:b/>
          <w:color w:val="000361"/>
        </w:rPr>
        <w:t>2.</w:t>
      </w:r>
      <w:r w:rsidR="00A12F82">
        <w:rPr>
          <w:rFonts w:ascii="Arial" w:hAnsi="Arial" w:cs="Arial"/>
          <w:b/>
          <w:color w:val="000361"/>
        </w:rPr>
        <w:t>6</w:t>
      </w:r>
      <w:r w:rsidRPr="0017266E">
        <w:rPr>
          <w:rFonts w:ascii="Arial" w:hAnsi="Arial" w:cs="Arial"/>
          <w:b/>
          <w:color w:val="000361"/>
        </w:rPr>
        <w:t xml:space="preserve">. Anàlisi de l’estat de </w:t>
      </w:r>
      <w:r w:rsidR="006E5C3E" w:rsidRPr="0017266E">
        <w:rPr>
          <w:rFonts w:ascii="Arial" w:hAnsi="Arial" w:cs="Arial"/>
          <w:b/>
          <w:color w:val="000361"/>
        </w:rPr>
        <w:t>fluxos</w:t>
      </w:r>
      <w:r w:rsidRPr="0017266E">
        <w:rPr>
          <w:rFonts w:ascii="Arial" w:hAnsi="Arial" w:cs="Arial"/>
          <w:b/>
          <w:color w:val="000361"/>
        </w:rPr>
        <w:t xml:space="preserve"> d’efectiu</w:t>
      </w:r>
      <w:r w:rsidR="0036789D">
        <w:rPr>
          <w:rFonts w:ascii="Arial" w:hAnsi="Arial" w:cs="Arial"/>
          <w:b/>
          <w:color w:val="000361"/>
        </w:rPr>
        <w:t xml:space="preserve"> (EFE)</w:t>
      </w:r>
    </w:p>
    <w:p w:rsidR="00106DD6" w:rsidRPr="009A0474" w:rsidRDefault="00106DD6" w:rsidP="002D48FA">
      <w:pPr>
        <w:jc w:val="both"/>
        <w:rPr>
          <w:rFonts w:ascii="Arial" w:hAnsi="Arial" w:cs="Arial"/>
          <w:b/>
          <w:color w:val="000361"/>
        </w:rPr>
      </w:pPr>
    </w:p>
    <w:tbl>
      <w:tblPr>
        <w:tblW w:w="9265" w:type="dxa"/>
        <w:tblCellMar>
          <w:left w:w="70" w:type="dxa"/>
          <w:right w:w="70" w:type="dxa"/>
        </w:tblCellMar>
        <w:tblLook w:val="04A0" w:firstRow="1" w:lastRow="0" w:firstColumn="1" w:lastColumn="0" w:noHBand="0" w:noVBand="1"/>
      </w:tblPr>
      <w:tblGrid>
        <w:gridCol w:w="5605"/>
        <w:gridCol w:w="732"/>
        <w:gridCol w:w="732"/>
        <w:gridCol w:w="732"/>
        <w:gridCol w:w="732"/>
        <w:gridCol w:w="732"/>
      </w:tblGrid>
      <w:tr w:rsidR="00175AF5" w:rsidRPr="00A010D7" w:rsidTr="00A010D7">
        <w:trPr>
          <w:trHeight w:val="201"/>
        </w:trPr>
        <w:tc>
          <w:tcPr>
            <w:tcW w:w="9265" w:type="dxa"/>
            <w:gridSpan w:val="6"/>
            <w:tcBorders>
              <w:top w:val="nil"/>
              <w:left w:val="nil"/>
              <w:bottom w:val="nil"/>
              <w:right w:val="nil"/>
            </w:tcBorders>
            <w:shd w:val="clear" w:color="auto" w:fill="auto"/>
            <w:noWrap/>
            <w:vAlign w:val="bottom"/>
            <w:hideMark/>
          </w:tcPr>
          <w:p w:rsidR="00A010D7" w:rsidRPr="00E55F96" w:rsidRDefault="00E55F96" w:rsidP="00A010D7">
            <w:pPr>
              <w:rPr>
                <w:rFonts w:ascii="Arial" w:hAnsi="Arial" w:cs="Arial"/>
                <w:bCs/>
                <w:color w:val="002060"/>
                <w:sz w:val="20"/>
                <w:szCs w:val="20"/>
              </w:rPr>
            </w:pPr>
            <w:r w:rsidRPr="00E55F96">
              <w:rPr>
                <w:rFonts w:ascii="Arial" w:hAnsi="Arial" w:cs="Arial"/>
                <w:bCs/>
                <w:color w:val="002060"/>
                <w:sz w:val="20"/>
                <w:szCs w:val="20"/>
              </w:rPr>
              <w:t>Taula 2.</w:t>
            </w:r>
            <w:r w:rsidR="00A12F82">
              <w:rPr>
                <w:rFonts w:ascii="Arial" w:hAnsi="Arial" w:cs="Arial"/>
                <w:bCs/>
                <w:color w:val="002060"/>
                <w:sz w:val="20"/>
                <w:szCs w:val="20"/>
              </w:rPr>
              <w:t>1</w:t>
            </w:r>
            <w:r w:rsidR="0036789D">
              <w:rPr>
                <w:rFonts w:ascii="Arial" w:hAnsi="Arial" w:cs="Arial"/>
                <w:bCs/>
                <w:color w:val="002060"/>
                <w:sz w:val="20"/>
                <w:szCs w:val="20"/>
              </w:rPr>
              <w:t>1</w:t>
            </w:r>
            <w:r w:rsidRPr="00E55F96">
              <w:rPr>
                <w:rFonts w:ascii="Arial" w:hAnsi="Arial" w:cs="Arial"/>
                <w:bCs/>
                <w:color w:val="002060"/>
                <w:sz w:val="20"/>
                <w:szCs w:val="20"/>
              </w:rPr>
              <w:t xml:space="preserve"> - </w:t>
            </w:r>
            <w:r w:rsidR="00DF620D" w:rsidRPr="00E55F96">
              <w:rPr>
                <w:rFonts w:ascii="Arial" w:hAnsi="Arial" w:cs="Arial"/>
                <w:bCs/>
                <w:color w:val="002060"/>
                <w:sz w:val="20"/>
                <w:szCs w:val="20"/>
              </w:rPr>
              <w:t>Anàlisi</w:t>
            </w:r>
            <w:r w:rsidR="00A010D7" w:rsidRPr="00E55F96">
              <w:rPr>
                <w:rFonts w:ascii="Arial" w:hAnsi="Arial" w:cs="Arial"/>
                <w:bCs/>
                <w:color w:val="002060"/>
                <w:sz w:val="20"/>
                <w:szCs w:val="20"/>
              </w:rPr>
              <w:t xml:space="preserve"> de l'estat de fluxos d'efectiu de Laboratoris Hipra dels dels exercicis 2015 al 2019 (en milers d'€)</w:t>
            </w:r>
          </w:p>
        </w:tc>
      </w:tr>
      <w:tr w:rsidR="00175AF5" w:rsidRPr="00A010D7" w:rsidTr="00A010D7">
        <w:trPr>
          <w:trHeight w:val="201"/>
        </w:trPr>
        <w:tc>
          <w:tcPr>
            <w:tcW w:w="5605" w:type="dxa"/>
            <w:tcBorders>
              <w:top w:val="nil"/>
              <w:left w:val="nil"/>
              <w:bottom w:val="nil"/>
              <w:right w:val="nil"/>
            </w:tcBorders>
            <w:shd w:val="clear" w:color="auto" w:fill="auto"/>
            <w:noWrap/>
            <w:vAlign w:val="bottom"/>
            <w:hideMark/>
          </w:tcPr>
          <w:p w:rsidR="00A010D7" w:rsidRPr="00A010D7" w:rsidRDefault="00A010D7" w:rsidP="00A010D7">
            <w:pPr>
              <w:rPr>
                <w:rFonts w:ascii="Arial" w:hAnsi="Arial" w:cs="Arial"/>
                <w:color w:val="002060"/>
                <w:sz w:val="20"/>
                <w:szCs w:val="20"/>
              </w:rPr>
            </w:pPr>
          </w:p>
        </w:tc>
        <w:tc>
          <w:tcPr>
            <w:tcW w:w="732" w:type="dxa"/>
            <w:tcBorders>
              <w:top w:val="nil"/>
              <w:left w:val="nil"/>
              <w:bottom w:val="nil"/>
              <w:right w:val="nil"/>
            </w:tcBorders>
            <w:shd w:val="clear" w:color="auto" w:fill="auto"/>
            <w:noWrap/>
            <w:vAlign w:val="bottom"/>
            <w:hideMark/>
          </w:tcPr>
          <w:p w:rsidR="00A010D7" w:rsidRPr="00A010D7" w:rsidRDefault="00A010D7" w:rsidP="00A010D7">
            <w:pPr>
              <w:rPr>
                <w:rFonts w:ascii="Arial" w:hAnsi="Arial" w:cs="Arial"/>
                <w:color w:val="002060"/>
                <w:sz w:val="20"/>
                <w:szCs w:val="20"/>
              </w:rPr>
            </w:pPr>
          </w:p>
        </w:tc>
        <w:tc>
          <w:tcPr>
            <w:tcW w:w="732" w:type="dxa"/>
            <w:tcBorders>
              <w:top w:val="nil"/>
              <w:left w:val="nil"/>
              <w:bottom w:val="nil"/>
              <w:right w:val="nil"/>
            </w:tcBorders>
            <w:shd w:val="clear" w:color="auto" w:fill="auto"/>
            <w:noWrap/>
            <w:vAlign w:val="bottom"/>
            <w:hideMark/>
          </w:tcPr>
          <w:p w:rsidR="00A010D7" w:rsidRPr="00A010D7" w:rsidRDefault="00A010D7" w:rsidP="00A010D7">
            <w:pPr>
              <w:rPr>
                <w:rFonts w:ascii="Arial" w:hAnsi="Arial" w:cs="Arial"/>
                <w:color w:val="002060"/>
                <w:sz w:val="20"/>
                <w:szCs w:val="20"/>
              </w:rPr>
            </w:pPr>
          </w:p>
        </w:tc>
        <w:tc>
          <w:tcPr>
            <w:tcW w:w="732" w:type="dxa"/>
            <w:tcBorders>
              <w:top w:val="nil"/>
              <w:left w:val="nil"/>
              <w:bottom w:val="nil"/>
              <w:right w:val="nil"/>
            </w:tcBorders>
            <w:shd w:val="clear" w:color="auto" w:fill="auto"/>
            <w:noWrap/>
            <w:vAlign w:val="bottom"/>
            <w:hideMark/>
          </w:tcPr>
          <w:p w:rsidR="00A010D7" w:rsidRPr="00A010D7" w:rsidRDefault="00A010D7" w:rsidP="00A010D7">
            <w:pPr>
              <w:rPr>
                <w:rFonts w:ascii="Arial" w:hAnsi="Arial" w:cs="Arial"/>
                <w:color w:val="002060"/>
                <w:sz w:val="20"/>
                <w:szCs w:val="20"/>
              </w:rPr>
            </w:pPr>
          </w:p>
        </w:tc>
        <w:tc>
          <w:tcPr>
            <w:tcW w:w="732" w:type="dxa"/>
            <w:tcBorders>
              <w:top w:val="nil"/>
              <w:left w:val="nil"/>
              <w:bottom w:val="nil"/>
              <w:right w:val="nil"/>
            </w:tcBorders>
            <w:shd w:val="clear" w:color="auto" w:fill="auto"/>
            <w:noWrap/>
            <w:vAlign w:val="bottom"/>
            <w:hideMark/>
          </w:tcPr>
          <w:p w:rsidR="00A010D7" w:rsidRPr="00A010D7" w:rsidRDefault="00A010D7" w:rsidP="00A010D7">
            <w:pPr>
              <w:rPr>
                <w:rFonts w:ascii="Arial" w:hAnsi="Arial" w:cs="Arial"/>
                <w:color w:val="002060"/>
                <w:sz w:val="20"/>
                <w:szCs w:val="20"/>
              </w:rPr>
            </w:pPr>
          </w:p>
        </w:tc>
        <w:tc>
          <w:tcPr>
            <w:tcW w:w="732" w:type="dxa"/>
            <w:tcBorders>
              <w:top w:val="nil"/>
              <w:left w:val="nil"/>
              <w:bottom w:val="nil"/>
              <w:right w:val="nil"/>
            </w:tcBorders>
            <w:shd w:val="clear" w:color="auto" w:fill="auto"/>
            <w:noWrap/>
            <w:vAlign w:val="bottom"/>
            <w:hideMark/>
          </w:tcPr>
          <w:p w:rsidR="00A010D7" w:rsidRPr="00A010D7" w:rsidRDefault="00A010D7" w:rsidP="00A010D7">
            <w:pPr>
              <w:rPr>
                <w:rFonts w:ascii="Arial" w:hAnsi="Arial" w:cs="Arial"/>
                <w:color w:val="002060"/>
                <w:sz w:val="20"/>
                <w:szCs w:val="20"/>
              </w:rPr>
            </w:pPr>
          </w:p>
        </w:tc>
      </w:tr>
      <w:tr w:rsidR="00175AF5" w:rsidRPr="00A010D7" w:rsidTr="00A010D7">
        <w:trPr>
          <w:trHeight w:val="201"/>
        </w:trPr>
        <w:tc>
          <w:tcPr>
            <w:tcW w:w="5605" w:type="dxa"/>
            <w:tcBorders>
              <w:top w:val="nil"/>
              <w:left w:val="nil"/>
              <w:bottom w:val="nil"/>
              <w:right w:val="nil"/>
            </w:tcBorders>
            <w:shd w:val="clear" w:color="auto" w:fill="auto"/>
            <w:noWrap/>
            <w:vAlign w:val="bottom"/>
            <w:hideMark/>
          </w:tcPr>
          <w:p w:rsidR="00A010D7" w:rsidRPr="00A010D7" w:rsidRDefault="00A010D7" w:rsidP="00A010D7">
            <w:pPr>
              <w:rPr>
                <w:rFonts w:ascii="Arial" w:hAnsi="Arial" w:cs="Arial"/>
                <w:color w:val="002060"/>
                <w:sz w:val="16"/>
                <w:szCs w:val="16"/>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jc w:val="center"/>
              <w:rPr>
                <w:rFonts w:ascii="Arial" w:hAnsi="Arial" w:cs="Arial"/>
                <w:b/>
                <w:bCs/>
                <w:color w:val="002060"/>
                <w:sz w:val="16"/>
                <w:szCs w:val="16"/>
              </w:rPr>
            </w:pPr>
            <w:r w:rsidRPr="00A010D7">
              <w:rPr>
                <w:rFonts w:ascii="Arial" w:hAnsi="Arial" w:cs="Arial"/>
                <w:b/>
                <w:bCs/>
                <w:color w:val="002060"/>
                <w:sz w:val="16"/>
                <w:szCs w:val="16"/>
              </w:rPr>
              <w:t>2019</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A010D7" w:rsidRPr="00A010D7" w:rsidRDefault="00A010D7" w:rsidP="00A010D7">
            <w:pPr>
              <w:jc w:val="center"/>
              <w:rPr>
                <w:rFonts w:ascii="Arial" w:hAnsi="Arial" w:cs="Arial"/>
                <w:b/>
                <w:bCs/>
                <w:color w:val="002060"/>
                <w:sz w:val="16"/>
                <w:szCs w:val="16"/>
              </w:rPr>
            </w:pPr>
            <w:r w:rsidRPr="00A010D7">
              <w:rPr>
                <w:rFonts w:ascii="Arial" w:hAnsi="Arial" w:cs="Arial"/>
                <w:b/>
                <w:bCs/>
                <w:color w:val="002060"/>
                <w:sz w:val="16"/>
                <w:szCs w:val="16"/>
              </w:rPr>
              <w:t>2018</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A010D7" w:rsidRPr="00A010D7" w:rsidRDefault="00A010D7" w:rsidP="00A010D7">
            <w:pPr>
              <w:jc w:val="center"/>
              <w:rPr>
                <w:rFonts w:ascii="Arial" w:hAnsi="Arial" w:cs="Arial"/>
                <w:b/>
                <w:bCs/>
                <w:color w:val="002060"/>
                <w:sz w:val="16"/>
                <w:szCs w:val="16"/>
              </w:rPr>
            </w:pPr>
            <w:r w:rsidRPr="00A010D7">
              <w:rPr>
                <w:rFonts w:ascii="Arial" w:hAnsi="Arial" w:cs="Arial"/>
                <w:b/>
                <w:bCs/>
                <w:color w:val="002060"/>
                <w:sz w:val="16"/>
                <w:szCs w:val="16"/>
              </w:rPr>
              <w:t>2017</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A010D7" w:rsidRPr="00A010D7" w:rsidRDefault="00A010D7" w:rsidP="00A010D7">
            <w:pPr>
              <w:jc w:val="center"/>
              <w:rPr>
                <w:rFonts w:ascii="Arial" w:hAnsi="Arial" w:cs="Arial"/>
                <w:b/>
                <w:bCs/>
                <w:color w:val="002060"/>
                <w:sz w:val="16"/>
                <w:szCs w:val="16"/>
              </w:rPr>
            </w:pPr>
            <w:r w:rsidRPr="00A010D7">
              <w:rPr>
                <w:rFonts w:ascii="Arial" w:hAnsi="Arial" w:cs="Arial"/>
                <w:b/>
                <w:bCs/>
                <w:color w:val="002060"/>
                <w:sz w:val="16"/>
                <w:szCs w:val="16"/>
              </w:rPr>
              <w:t>2016</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A010D7" w:rsidRPr="00A010D7" w:rsidRDefault="00A010D7" w:rsidP="00A010D7">
            <w:pPr>
              <w:jc w:val="center"/>
              <w:rPr>
                <w:rFonts w:ascii="Arial" w:hAnsi="Arial" w:cs="Arial"/>
                <w:b/>
                <w:bCs/>
                <w:color w:val="002060"/>
                <w:sz w:val="16"/>
                <w:szCs w:val="16"/>
              </w:rPr>
            </w:pPr>
            <w:r w:rsidRPr="00A010D7">
              <w:rPr>
                <w:rFonts w:ascii="Arial" w:hAnsi="Arial" w:cs="Arial"/>
                <w:b/>
                <w:bCs/>
                <w:color w:val="002060"/>
                <w:sz w:val="16"/>
                <w:szCs w:val="16"/>
              </w:rPr>
              <w:t>2015</w:t>
            </w:r>
          </w:p>
        </w:tc>
      </w:tr>
      <w:tr w:rsidR="00175AF5" w:rsidRPr="00175AF5" w:rsidTr="00A010D7">
        <w:trPr>
          <w:trHeight w:val="201"/>
        </w:trPr>
        <w:tc>
          <w:tcPr>
            <w:tcW w:w="5605"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A) Fluxos d'efectiu de les activitats d'explotació</w:t>
            </w:r>
          </w:p>
        </w:tc>
        <w:tc>
          <w:tcPr>
            <w:tcW w:w="732" w:type="dxa"/>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 </w:t>
            </w:r>
          </w:p>
        </w:tc>
        <w:tc>
          <w:tcPr>
            <w:tcW w:w="732" w:type="dxa"/>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 </w:t>
            </w:r>
          </w:p>
        </w:tc>
        <w:tc>
          <w:tcPr>
            <w:tcW w:w="732" w:type="dxa"/>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 </w:t>
            </w:r>
          </w:p>
        </w:tc>
        <w:tc>
          <w:tcPr>
            <w:tcW w:w="732" w:type="dxa"/>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 </w:t>
            </w:r>
          </w:p>
        </w:tc>
        <w:tc>
          <w:tcPr>
            <w:tcW w:w="732" w:type="dxa"/>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 </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1. Resultats de l'exercici abans d'impostos</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46634</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39791</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40272</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35515</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36457</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2. Ajustos del resultat</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17523</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16327</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15485</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9636</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9895</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a) Amortització de l'immobilitzat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16543</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13895</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12576</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9322</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8988</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b) Correccions valoratives per deteriorament</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2432</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6038</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4160</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461</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373</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c) Variació de provisions</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495</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1008</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341</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208</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432</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d) Imputació de subvencions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e) Resultats per baixes i alienacions de l'immob.</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74</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24</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-44</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2</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-37</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f) Resultats per baixes i alienacions de instrum.</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174</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g) Ingressos financers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-340</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-269</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-477</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-336</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-445</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h) Despeses financeres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188</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100</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153</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244</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179</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i) Diferències de canvi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539</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1533</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2729</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-69</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762</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j) Variació del valor raonable en instrum. financ.</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24</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36</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33</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12</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75</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k) Altres ingressos i despeses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3. Canvis en el capital corrent</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-4449</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-5820</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-8927</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-3990</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-8558</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a) Existències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-9527</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-6775</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-4333</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-2135</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-5530</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b) </w:t>
            </w:r>
            <w:r w:rsidR="00DF620D" w:rsidRPr="00A010D7">
              <w:rPr>
                <w:rFonts w:ascii="Arial" w:hAnsi="Arial" w:cs="Arial"/>
                <w:color w:val="002060"/>
                <w:sz w:val="16"/>
                <w:szCs w:val="16"/>
              </w:rPr>
              <w:t>Deutors</w:t>
            </w:r>
            <w:r w:rsidRPr="00A010D7">
              <w:rPr>
                <w:rFonts w:ascii="Arial" w:hAnsi="Arial" w:cs="Arial"/>
                <w:color w:val="002060"/>
                <w:sz w:val="16"/>
                <w:szCs w:val="16"/>
              </w:rPr>
              <w:t xml:space="preserve"> i altres comptes per cobrar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-4242</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3059</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1092</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-5002</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-4087</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c) Altres actius corrents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-1639</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111</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-3589</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177</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-2027</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d) Creditors i altres comptes per pagar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696</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-2940</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-1591</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3865</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3515</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e) Altres passius corrents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10263</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725</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-506</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-895</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-429</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f) Altres actius i passius no corrents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4. Altres fluxos d'efectiu de les activitats d'explotació</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-9422</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-7029</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-5203</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-9576</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-9397</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a) Pagament d'interessos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-188</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-100</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-153</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-244</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-179</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b) Cobrament de dividends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16</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10</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9</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4</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7</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c) Cobrament d'interessos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324</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259</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468</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332</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438</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d) Cobraments (pagaments) per impost sobre beneficis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-9574</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-7198</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-5527</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-9668</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-9663</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e) Altres pagaments (cobraments)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5. Fluxos d'efectiu de les activitats d'explotació</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50285</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43269</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41627</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31585</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28397</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175AF5" w:rsidTr="00A010D7">
        <w:trPr>
          <w:trHeight w:val="201"/>
        </w:trPr>
        <w:tc>
          <w:tcPr>
            <w:tcW w:w="5605" w:type="dxa"/>
            <w:tcBorders>
              <w:top w:val="nil"/>
              <w:left w:val="single" w:sz="4" w:space="0" w:color="auto"/>
              <w:bottom w:val="single" w:sz="4" w:space="0" w:color="auto"/>
              <w:right w:val="single" w:sz="4" w:space="0" w:color="auto"/>
            </w:tcBorders>
            <w:shd w:val="clear" w:color="000000" w:fill="E7E6E6"/>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B) Fluxos d'efectiu de les activitats d'inversió</w:t>
            </w:r>
          </w:p>
        </w:tc>
        <w:tc>
          <w:tcPr>
            <w:tcW w:w="732" w:type="dxa"/>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 </w:t>
            </w:r>
          </w:p>
        </w:tc>
        <w:tc>
          <w:tcPr>
            <w:tcW w:w="732" w:type="dxa"/>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 </w:t>
            </w:r>
          </w:p>
        </w:tc>
        <w:tc>
          <w:tcPr>
            <w:tcW w:w="732" w:type="dxa"/>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 </w:t>
            </w:r>
          </w:p>
        </w:tc>
        <w:tc>
          <w:tcPr>
            <w:tcW w:w="732" w:type="dxa"/>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 </w:t>
            </w:r>
          </w:p>
        </w:tc>
        <w:tc>
          <w:tcPr>
            <w:tcW w:w="732" w:type="dxa"/>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 </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6. Pagaments per inversions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-51993</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-40706</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-38096</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-37482</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-29124</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a) Empreses del grup i associades</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b) Immobilitzat intangible</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-1448</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-1269</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-1353</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-1109</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-1192</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c) Immobilitzat material</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-46658</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-36461</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-32888</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-30155</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-25169</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d) Inversions immobiliàries</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e) Altres actius financers</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-3887</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-2976</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-3855</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-6218</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-2763</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lastRenderedPageBreak/>
              <w:t xml:space="preserve"> f) Actius no corrents mantinguts per a la venda</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g) Unitat de negoci</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h) Altres actius</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7. Cobraments per desinversions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3323</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1709</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8125</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12356</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1795</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a) Empreses del grup i associades</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b) Immobilitzat intangible</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c) Immobilitzat material</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232</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235</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356</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53</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458</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d) Inversions immobiliàries</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e) Altres actius financers</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3091</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1474</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7769</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12303</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1337</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f) Actius no corrents mantinguts per a la venda</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g) Unitat de negoci</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h) Altres actius</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A010D7" w:rsidTr="00A010D7">
        <w:trPr>
          <w:trHeight w:val="201"/>
        </w:trPr>
        <w:tc>
          <w:tcPr>
            <w:tcW w:w="5605"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8. Fluxos d'efectiu de les activitats d'inversió</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-48670</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-38997</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-29971</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-25126</w:t>
            </w:r>
          </w:p>
        </w:tc>
        <w:tc>
          <w:tcPr>
            <w:tcW w:w="732" w:type="dxa"/>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-27329</w:t>
            </w:r>
          </w:p>
        </w:tc>
      </w:tr>
    </w:tbl>
    <w:p w:rsidR="003E0C0E" w:rsidRPr="00A010D7" w:rsidRDefault="003E0C0E" w:rsidP="002D48FA">
      <w:pPr>
        <w:jc w:val="both"/>
        <w:rPr>
          <w:rFonts w:ascii="Arial" w:hAnsi="Arial" w:cs="Arial"/>
          <w:b/>
          <w:color w:val="000361"/>
          <w:sz w:val="16"/>
          <w:szCs w:val="16"/>
        </w:rPr>
      </w:pPr>
    </w:p>
    <w:tbl>
      <w:tblPr>
        <w:tblW w:w="9250" w:type="dxa"/>
        <w:tblCellMar>
          <w:left w:w="70" w:type="dxa"/>
          <w:right w:w="70" w:type="dxa"/>
        </w:tblCellMar>
        <w:tblLook w:val="04A0" w:firstRow="1" w:lastRow="0" w:firstColumn="1" w:lastColumn="0" w:noHBand="0" w:noVBand="1"/>
      </w:tblPr>
      <w:tblGrid>
        <w:gridCol w:w="5670"/>
        <w:gridCol w:w="318"/>
        <w:gridCol w:w="391"/>
        <w:gridCol w:w="260"/>
        <w:gridCol w:w="449"/>
        <w:gridCol w:w="202"/>
        <w:gridCol w:w="507"/>
        <w:gridCol w:w="144"/>
        <w:gridCol w:w="564"/>
        <w:gridCol w:w="87"/>
        <w:gridCol w:w="658"/>
      </w:tblGrid>
      <w:tr w:rsidR="00175AF5" w:rsidRPr="00175AF5" w:rsidTr="00A12F82">
        <w:trPr>
          <w:trHeight w:val="277"/>
        </w:trPr>
        <w:tc>
          <w:tcPr>
            <w:tcW w:w="5988" w:type="dxa"/>
            <w:gridSpan w:val="2"/>
            <w:tcBorders>
              <w:top w:val="nil"/>
              <w:left w:val="nil"/>
              <w:bottom w:val="nil"/>
              <w:right w:val="nil"/>
            </w:tcBorders>
            <w:shd w:val="clear" w:color="auto" w:fill="auto"/>
            <w:noWrap/>
            <w:vAlign w:val="bottom"/>
            <w:hideMark/>
          </w:tcPr>
          <w:p w:rsidR="00A010D7" w:rsidRPr="00A010D7" w:rsidRDefault="00A010D7" w:rsidP="00A010D7">
            <w:pPr>
              <w:rPr>
                <w:color w:val="002060"/>
                <w:sz w:val="16"/>
                <w:szCs w:val="16"/>
              </w:rPr>
            </w:pPr>
          </w:p>
        </w:tc>
        <w:tc>
          <w:tcPr>
            <w:tcW w:w="651" w:type="dxa"/>
            <w:gridSpan w:val="2"/>
            <w:tcBorders>
              <w:top w:val="nil"/>
              <w:left w:val="nil"/>
              <w:bottom w:val="nil"/>
              <w:right w:val="nil"/>
            </w:tcBorders>
            <w:shd w:val="clear" w:color="auto" w:fill="auto"/>
            <w:noWrap/>
            <w:vAlign w:val="bottom"/>
            <w:hideMark/>
          </w:tcPr>
          <w:p w:rsidR="00A010D7" w:rsidRPr="00A010D7" w:rsidRDefault="00A010D7" w:rsidP="00A010D7">
            <w:pPr>
              <w:rPr>
                <w:color w:val="002060"/>
                <w:sz w:val="16"/>
                <w:szCs w:val="16"/>
              </w:rPr>
            </w:pPr>
          </w:p>
        </w:tc>
        <w:tc>
          <w:tcPr>
            <w:tcW w:w="651" w:type="dxa"/>
            <w:gridSpan w:val="2"/>
            <w:tcBorders>
              <w:top w:val="nil"/>
              <w:left w:val="nil"/>
              <w:bottom w:val="nil"/>
              <w:right w:val="nil"/>
            </w:tcBorders>
            <w:shd w:val="clear" w:color="auto" w:fill="auto"/>
            <w:noWrap/>
            <w:vAlign w:val="bottom"/>
            <w:hideMark/>
          </w:tcPr>
          <w:p w:rsidR="00A010D7" w:rsidRPr="00A010D7" w:rsidRDefault="00A010D7" w:rsidP="00A010D7">
            <w:pPr>
              <w:rPr>
                <w:color w:val="002060"/>
                <w:sz w:val="16"/>
                <w:szCs w:val="16"/>
              </w:rPr>
            </w:pPr>
          </w:p>
        </w:tc>
        <w:tc>
          <w:tcPr>
            <w:tcW w:w="651" w:type="dxa"/>
            <w:gridSpan w:val="2"/>
            <w:tcBorders>
              <w:top w:val="nil"/>
              <w:left w:val="nil"/>
              <w:bottom w:val="nil"/>
              <w:right w:val="nil"/>
            </w:tcBorders>
            <w:shd w:val="clear" w:color="auto" w:fill="auto"/>
            <w:noWrap/>
            <w:vAlign w:val="bottom"/>
            <w:hideMark/>
          </w:tcPr>
          <w:p w:rsidR="00A010D7" w:rsidRPr="00A010D7" w:rsidRDefault="00A010D7" w:rsidP="00A010D7">
            <w:pPr>
              <w:rPr>
                <w:color w:val="002060"/>
                <w:sz w:val="16"/>
                <w:szCs w:val="16"/>
              </w:rPr>
            </w:pPr>
          </w:p>
        </w:tc>
        <w:tc>
          <w:tcPr>
            <w:tcW w:w="651" w:type="dxa"/>
            <w:gridSpan w:val="2"/>
            <w:tcBorders>
              <w:top w:val="nil"/>
              <w:left w:val="nil"/>
              <w:bottom w:val="nil"/>
              <w:right w:val="nil"/>
            </w:tcBorders>
            <w:shd w:val="clear" w:color="auto" w:fill="auto"/>
            <w:noWrap/>
            <w:vAlign w:val="bottom"/>
            <w:hideMark/>
          </w:tcPr>
          <w:p w:rsidR="00A010D7" w:rsidRPr="00A010D7" w:rsidRDefault="00A010D7" w:rsidP="00A010D7">
            <w:pPr>
              <w:rPr>
                <w:color w:val="002060"/>
                <w:sz w:val="16"/>
                <w:szCs w:val="16"/>
              </w:rPr>
            </w:pPr>
          </w:p>
        </w:tc>
        <w:tc>
          <w:tcPr>
            <w:tcW w:w="658" w:type="dxa"/>
            <w:tcBorders>
              <w:top w:val="nil"/>
              <w:left w:val="nil"/>
              <w:bottom w:val="nil"/>
              <w:right w:val="nil"/>
            </w:tcBorders>
            <w:shd w:val="clear" w:color="auto" w:fill="auto"/>
            <w:noWrap/>
            <w:vAlign w:val="bottom"/>
            <w:hideMark/>
          </w:tcPr>
          <w:p w:rsidR="00A010D7" w:rsidRPr="00A010D7" w:rsidRDefault="00A010D7" w:rsidP="00A010D7">
            <w:pPr>
              <w:rPr>
                <w:color w:val="002060"/>
                <w:sz w:val="16"/>
                <w:szCs w:val="16"/>
              </w:rPr>
            </w:pPr>
          </w:p>
        </w:tc>
      </w:tr>
      <w:tr w:rsidR="00175AF5" w:rsidRPr="00175AF5" w:rsidTr="00A12F82">
        <w:trPr>
          <w:trHeight w:val="277"/>
        </w:trPr>
        <w:tc>
          <w:tcPr>
            <w:tcW w:w="5670" w:type="dxa"/>
            <w:tcBorders>
              <w:top w:val="nil"/>
              <w:left w:val="nil"/>
              <w:bottom w:val="nil"/>
              <w:right w:val="nil"/>
            </w:tcBorders>
            <w:shd w:val="clear" w:color="auto" w:fill="auto"/>
            <w:noWrap/>
            <w:vAlign w:val="bottom"/>
            <w:hideMark/>
          </w:tcPr>
          <w:p w:rsidR="00A010D7" w:rsidRPr="00A010D7" w:rsidRDefault="00A010D7" w:rsidP="00A010D7">
            <w:pPr>
              <w:rPr>
                <w:color w:val="002060"/>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jc w:val="center"/>
              <w:rPr>
                <w:rFonts w:ascii="Arial" w:hAnsi="Arial" w:cs="Arial"/>
                <w:b/>
                <w:bCs/>
                <w:color w:val="002060"/>
                <w:sz w:val="16"/>
                <w:szCs w:val="16"/>
              </w:rPr>
            </w:pPr>
            <w:r w:rsidRPr="00A010D7">
              <w:rPr>
                <w:rFonts w:ascii="Arial" w:hAnsi="Arial" w:cs="Arial"/>
                <w:b/>
                <w:bCs/>
                <w:color w:val="002060"/>
                <w:sz w:val="16"/>
                <w:szCs w:val="16"/>
              </w:rPr>
              <w:t>2019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010D7" w:rsidRPr="00A010D7" w:rsidRDefault="00A010D7" w:rsidP="00A010D7">
            <w:pPr>
              <w:jc w:val="center"/>
              <w:rPr>
                <w:rFonts w:ascii="Arial" w:hAnsi="Arial" w:cs="Arial"/>
                <w:b/>
                <w:bCs/>
                <w:color w:val="002060"/>
                <w:sz w:val="16"/>
                <w:szCs w:val="16"/>
              </w:rPr>
            </w:pPr>
            <w:r w:rsidRPr="00A010D7">
              <w:rPr>
                <w:rFonts w:ascii="Arial" w:hAnsi="Arial" w:cs="Arial"/>
                <w:b/>
                <w:bCs/>
                <w:color w:val="002060"/>
                <w:sz w:val="16"/>
                <w:szCs w:val="16"/>
              </w:rPr>
              <w:t>2018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010D7" w:rsidRPr="00A010D7" w:rsidRDefault="00A010D7" w:rsidP="00A010D7">
            <w:pPr>
              <w:jc w:val="center"/>
              <w:rPr>
                <w:rFonts w:ascii="Arial" w:hAnsi="Arial" w:cs="Arial"/>
                <w:b/>
                <w:bCs/>
                <w:color w:val="002060"/>
                <w:sz w:val="16"/>
                <w:szCs w:val="16"/>
              </w:rPr>
            </w:pPr>
            <w:r w:rsidRPr="00A010D7">
              <w:rPr>
                <w:rFonts w:ascii="Arial" w:hAnsi="Arial" w:cs="Arial"/>
                <w:b/>
                <w:bCs/>
                <w:color w:val="002060"/>
                <w:sz w:val="16"/>
                <w:szCs w:val="16"/>
              </w:rPr>
              <w:t>2017</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010D7" w:rsidRPr="00A010D7" w:rsidRDefault="00A010D7" w:rsidP="00A010D7">
            <w:pPr>
              <w:jc w:val="center"/>
              <w:rPr>
                <w:rFonts w:ascii="Arial" w:hAnsi="Arial" w:cs="Arial"/>
                <w:b/>
                <w:bCs/>
                <w:color w:val="002060"/>
                <w:sz w:val="16"/>
                <w:szCs w:val="16"/>
              </w:rPr>
            </w:pPr>
            <w:r w:rsidRPr="00A010D7">
              <w:rPr>
                <w:rFonts w:ascii="Arial" w:hAnsi="Arial" w:cs="Arial"/>
                <w:b/>
                <w:bCs/>
                <w:color w:val="002060"/>
                <w:sz w:val="16"/>
                <w:szCs w:val="16"/>
              </w:rPr>
              <w:t>2016</w:t>
            </w:r>
          </w:p>
        </w:tc>
        <w:tc>
          <w:tcPr>
            <w:tcW w:w="7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010D7" w:rsidRPr="00A010D7" w:rsidRDefault="00A010D7" w:rsidP="00A010D7">
            <w:pPr>
              <w:jc w:val="center"/>
              <w:rPr>
                <w:rFonts w:ascii="Arial" w:hAnsi="Arial" w:cs="Arial"/>
                <w:b/>
                <w:bCs/>
                <w:color w:val="002060"/>
                <w:sz w:val="16"/>
                <w:szCs w:val="16"/>
              </w:rPr>
            </w:pPr>
            <w:r w:rsidRPr="00A010D7">
              <w:rPr>
                <w:rFonts w:ascii="Arial" w:hAnsi="Arial" w:cs="Arial"/>
                <w:b/>
                <w:bCs/>
                <w:color w:val="002060"/>
                <w:sz w:val="16"/>
                <w:szCs w:val="16"/>
              </w:rPr>
              <w:t>2015</w:t>
            </w:r>
          </w:p>
        </w:tc>
      </w:tr>
      <w:tr w:rsidR="00175AF5" w:rsidRPr="00175AF5" w:rsidTr="00A12F82">
        <w:trPr>
          <w:trHeight w:val="277"/>
        </w:trPr>
        <w:tc>
          <w:tcPr>
            <w:tcW w:w="567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C) Fluxos d'efectiu de les activitats de finançament</w:t>
            </w:r>
          </w:p>
        </w:tc>
        <w:tc>
          <w:tcPr>
            <w:tcW w:w="709" w:type="dxa"/>
            <w:gridSpan w:val="2"/>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 </w:t>
            </w:r>
          </w:p>
        </w:tc>
        <w:tc>
          <w:tcPr>
            <w:tcW w:w="709" w:type="dxa"/>
            <w:gridSpan w:val="2"/>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 </w:t>
            </w:r>
          </w:p>
        </w:tc>
        <w:tc>
          <w:tcPr>
            <w:tcW w:w="709" w:type="dxa"/>
            <w:gridSpan w:val="2"/>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 </w:t>
            </w:r>
          </w:p>
        </w:tc>
        <w:tc>
          <w:tcPr>
            <w:tcW w:w="708" w:type="dxa"/>
            <w:gridSpan w:val="2"/>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 </w:t>
            </w:r>
          </w:p>
        </w:tc>
        <w:tc>
          <w:tcPr>
            <w:tcW w:w="745" w:type="dxa"/>
            <w:gridSpan w:val="2"/>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 </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9. Cobraments i pagaments per instrum. de patrimoni</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371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121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80</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1513</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a) Emissió d'instruments de patrimoni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b) Amortització d'instruments de patrimoni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c) Adquisició d'instruments de patrimoni propi</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d) Alienació d'instruments de patrimoni propi</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371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121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80</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1513</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e) Subvencions, donacions i llegats rebuts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10. Cobraments i pagaments per instruments de passiu financ.</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15061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6357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1181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-394</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-1416</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a) Emissió</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18559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1952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547</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339</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1. Obligacions i altres valors negociables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2. Deutes amb entitats de crèdit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18000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1765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547</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3. Deutes amb empreses del grup i associades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4. Deutes de característiques especials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5. Altres deutes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559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187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339</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b) Devolució i amortització de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-3498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-3643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-771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-941</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-1755</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1. Obligacions i altres valors negociables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2. Deutes amb entitats de crèdit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-2909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-3134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-407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-630</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-1755</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3. Deutes amb empreses del grup i associades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4. Deutes de característiques especials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5. Altres deutes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-589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-509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-364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-311</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11. Pagaments per dividends y remuneracions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-8292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-7093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-7087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-7082</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-5242</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a) Dividends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-8292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-7093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-7087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-7082</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-5242</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b) Remuneració d'altres instruments de patrimoni</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12. Fluxos d'efectiu de les activitats de finançament</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6808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-365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-5785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-7396</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-5145</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000000" w:fill="E7E6E6"/>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D) Efecte de les variacions dels tipus de canvi</w:t>
            </w:r>
          </w:p>
        </w:tc>
        <w:tc>
          <w:tcPr>
            <w:tcW w:w="709" w:type="dxa"/>
            <w:gridSpan w:val="2"/>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737</w:t>
            </w:r>
          </w:p>
        </w:tc>
        <w:tc>
          <w:tcPr>
            <w:tcW w:w="709" w:type="dxa"/>
            <w:gridSpan w:val="2"/>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-4243</w:t>
            </w:r>
          </w:p>
        </w:tc>
        <w:tc>
          <w:tcPr>
            <w:tcW w:w="709" w:type="dxa"/>
            <w:gridSpan w:val="2"/>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-5662</w:t>
            </w:r>
          </w:p>
        </w:tc>
        <w:tc>
          <w:tcPr>
            <w:tcW w:w="708" w:type="dxa"/>
            <w:gridSpan w:val="2"/>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691</w:t>
            </w:r>
          </w:p>
        </w:tc>
        <w:tc>
          <w:tcPr>
            <w:tcW w:w="745" w:type="dxa"/>
            <w:gridSpan w:val="2"/>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-762</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000000" w:fill="E7E6E6"/>
            <w:noWrap/>
            <w:vAlign w:val="bottom"/>
            <w:hideMark/>
          </w:tcPr>
          <w:p w:rsidR="00A010D7" w:rsidRPr="00A010D7" w:rsidRDefault="00A010D7" w:rsidP="00A010D7">
            <w:pPr>
              <w:rPr>
                <w:rFonts w:ascii="Arial" w:hAnsi="Arial" w:cs="Arial"/>
                <w:b/>
                <w:bCs/>
                <w:color w:val="002060"/>
                <w:sz w:val="16"/>
                <w:szCs w:val="16"/>
              </w:rPr>
            </w:pPr>
            <w:r w:rsidRPr="00A010D7">
              <w:rPr>
                <w:rFonts w:ascii="Arial" w:hAnsi="Arial" w:cs="Arial"/>
                <w:b/>
                <w:bCs/>
                <w:color w:val="002060"/>
                <w:sz w:val="16"/>
                <w:szCs w:val="16"/>
              </w:rPr>
              <w:t>E) Augment/disminució neta de l'efectiu o equivalent</w:t>
            </w:r>
          </w:p>
        </w:tc>
        <w:tc>
          <w:tcPr>
            <w:tcW w:w="709" w:type="dxa"/>
            <w:gridSpan w:val="2"/>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9160</w:t>
            </w:r>
          </w:p>
        </w:tc>
        <w:tc>
          <w:tcPr>
            <w:tcW w:w="709" w:type="dxa"/>
            <w:gridSpan w:val="2"/>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-336</w:t>
            </w:r>
          </w:p>
        </w:tc>
        <w:tc>
          <w:tcPr>
            <w:tcW w:w="709" w:type="dxa"/>
            <w:gridSpan w:val="2"/>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209</w:t>
            </w:r>
          </w:p>
        </w:tc>
        <w:tc>
          <w:tcPr>
            <w:tcW w:w="708" w:type="dxa"/>
            <w:gridSpan w:val="2"/>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-246</w:t>
            </w:r>
          </w:p>
        </w:tc>
        <w:tc>
          <w:tcPr>
            <w:tcW w:w="745" w:type="dxa"/>
            <w:gridSpan w:val="2"/>
            <w:tcBorders>
              <w:top w:val="nil"/>
              <w:left w:val="nil"/>
              <w:bottom w:val="single" w:sz="4" w:space="0" w:color="auto"/>
              <w:right w:val="single" w:sz="4" w:space="0" w:color="auto"/>
            </w:tcBorders>
            <w:shd w:val="clear" w:color="000000" w:fill="E7E6E6"/>
            <w:noWrap/>
            <w:vAlign w:val="bottom"/>
            <w:hideMark/>
          </w:tcPr>
          <w:p w:rsidR="00A010D7" w:rsidRPr="00A010D7" w:rsidRDefault="00A010D7" w:rsidP="00A010D7">
            <w:pPr>
              <w:jc w:val="right"/>
              <w:rPr>
                <w:rFonts w:ascii="Arial" w:hAnsi="Arial" w:cs="Arial"/>
                <w:b/>
                <w:bCs/>
                <w:color w:val="002060"/>
                <w:sz w:val="16"/>
                <w:szCs w:val="16"/>
              </w:rPr>
            </w:pPr>
            <w:r w:rsidRPr="00A010D7">
              <w:rPr>
                <w:rFonts w:ascii="Arial" w:hAnsi="Arial" w:cs="Arial"/>
                <w:b/>
                <w:bCs/>
                <w:color w:val="002060"/>
                <w:sz w:val="16"/>
                <w:szCs w:val="16"/>
              </w:rPr>
              <w:t>-4839</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Efectiu o equivalent a l'inici de l'exercici</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12314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12650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12441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12687</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17526</w:t>
            </w:r>
          </w:p>
        </w:tc>
      </w:tr>
      <w:tr w:rsidR="00175AF5" w:rsidRPr="00175AF5" w:rsidTr="00A12F82">
        <w:trPr>
          <w:trHeight w:val="277"/>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A010D7" w:rsidRPr="00A010D7" w:rsidRDefault="00A010D7" w:rsidP="00A010D7">
            <w:pPr>
              <w:rPr>
                <w:rFonts w:ascii="Arial" w:hAnsi="Arial" w:cs="Arial"/>
                <w:color w:val="002060"/>
                <w:sz w:val="16"/>
                <w:szCs w:val="16"/>
              </w:rPr>
            </w:pPr>
            <w:r w:rsidRPr="00A010D7">
              <w:rPr>
                <w:rFonts w:ascii="Arial" w:hAnsi="Arial" w:cs="Arial"/>
                <w:color w:val="002060"/>
                <w:sz w:val="16"/>
                <w:szCs w:val="16"/>
              </w:rPr>
              <w:t xml:space="preserve">  Efectiu o equivalent al final de l'exercici</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21474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12314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12650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12441</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A010D7" w:rsidRPr="00A010D7" w:rsidRDefault="00A010D7" w:rsidP="00A010D7">
            <w:pPr>
              <w:jc w:val="right"/>
              <w:rPr>
                <w:rFonts w:ascii="Arial" w:hAnsi="Arial" w:cs="Arial"/>
                <w:color w:val="002060"/>
                <w:sz w:val="16"/>
                <w:szCs w:val="16"/>
              </w:rPr>
            </w:pPr>
            <w:r w:rsidRPr="00A010D7">
              <w:rPr>
                <w:rFonts w:ascii="Arial" w:hAnsi="Arial" w:cs="Arial"/>
                <w:color w:val="002060"/>
                <w:sz w:val="16"/>
                <w:szCs w:val="16"/>
              </w:rPr>
              <w:t>12687</w:t>
            </w:r>
          </w:p>
        </w:tc>
      </w:tr>
    </w:tbl>
    <w:p w:rsidR="00E55F96" w:rsidRPr="00A12F82" w:rsidRDefault="00A010D7" w:rsidP="002D48FA">
      <w:pPr>
        <w:jc w:val="both"/>
        <w:rPr>
          <w:rFonts w:ascii="Arial" w:hAnsi="Arial" w:cs="Arial"/>
          <w:b/>
          <w:color w:val="000361"/>
          <w:sz w:val="14"/>
          <w:szCs w:val="14"/>
        </w:rPr>
      </w:pPr>
      <w:r w:rsidRPr="00A12F82">
        <w:rPr>
          <w:rFonts w:ascii="Arial" w:hAnsi="Arial" w:cs="Arial"/>
          <w:color w:val="000361"/>
          <w:sz w:val="14"/>
          <w:szCs w:val="14"/>
        </w:rPr>
        <w:t>Font: Elaboració pròpia amb dades obtingudes dels comptes anuals consolidats de Laboratoris Hipra</w:t>
      </w:r>
      <w:r w:rsidRPr="00A12F82">
        <w:rPr>
          <w:rFonts w:ascii="Arial" w:hAnsi="Arial" w:cs="Arial"/>
          <w:b/>
          <w:color w:val="000361"/>
          <w:sz w:val="14"/>
          <w:szCs w:val="14"/>
        </w:rPr>
        <w:t xml:space="preserve"> </w:t>
      </w:r>
    </w:p>
    <w:p w:rsidR="00E55F96" w:rsidRDefault="00E55F96" w:rsidP="002D48FA">
      <w:pPr>
        <w:jc w:val="both"/>
        <w:rPr>
          <w:rFonts w:ascii="Arial" w:hAnsi="Arial" w:cs="Arial"/>
          <w:b/>
          <w:color w:val="000361"/>
          <w:sz w:val="16"/>
          <w:szCs w:val="16"/>
        </w:rPr>
      </w:pPr>
    </w:p>
    <w:p w:rsidR="00E55F96" w:rsidRDefault="00E55F96" w:rsidP="002D48FA">
      <w:pPr>
        <w:jc w:val="both"/>
        <w:rPr>
          <w:rFonts w:ascii="Arial" w:hAnsi="Arial" w:cs="Arial"/>
          <w:color w:val="000361"/>
          <w:sz w:val="20"/>
          <w:szCs w:val="20"/>
        </w:rPr>
      </w:pPr>
      <w:r w:rsidRPr="00E55F96">
        <w:rPr>
          <w:rFonts w:ascii="Arial" w:hAnsi="Arial" w:cs="Arial"/>
          <w:color w:val="000361"/>
          <w:sz w:val="20"/>
          <w:szCs w:val="20"/>
        </w:rPr>
        <w:t>Aspectes destacables de l’estat de canvis de fluxos d’efectiu de l’empresa Hipra:</w:t>
      </w:r>
    </w:p>
    <w:p w:rsidR="00E55F96" w:rsidRDefault="00E55F96" w:rsidP="002D48FA">
      <w:pPr>
        <w:jc w:val="both"/>
        <w:rPr>
          <w:rFonts w:ascii="Arial" w:hAnsi="Arial" w:cs="Arial"/>
          <w:color w:val="000361"/>
          <w:sz w:val="20"/>
          <w:szCs w:val="20"/>
        </w:rPr>
      </w:pPr>
    </w:p>
    <w:p w:rsidR="00E55F96" w:rsidRDefault="00E55F96" w:rsidP="002D48FA">
      <w:pPr>
        <w:jc w:val="both"/>
        <w:rPr>
          <w:rFonts w:ascii="Arial" w:hAnsi="Arial" w:cs="Arial"/>
          <w:color w:val="000361"/>
          <w:sz w:val="20"/>
          <w:szCs w:val="20"/>
        </w:rPr>
      </w:pPr>
      <w:r>
        <w:rPr>
          <w:rFonts w:ascii="Arial" w:hAnsi="Arial" w:cs="Arial"/>
          <w:color w:val="000361"/>
          <w:sz w:val="20"/>
          <w:szCs w:val="20"/>
        </w:rPr>
        <w:t xml:space="preserve">- Els fluxos d’efectiu d’explotació han augmentat en cada un dels exercicis que s’han anat </w:t>
      </w:r>
      <w:r w:rsidR="00DF620D">
        <w:rPr>
          <w:rFonts w:ascii="Arial" w:hAnsi="Arial" w:cs="Arial"/>
          <w:color w:val="000361"/>
          <w:sz w:val="20"/>
          <w:szCs w:val="20"/>
        </w:rPr>
        <w:t>succeint</w:t>
      </w:r>
      <w:r>
        <w:rPr>
          <w:rFonts w:ascii="Arial" w:hAnsi="Arial" w:cs="Arial"/>
          <w:color w:val="000361"/>
          <w:sz w:val="20"/>
          <w:szCs w:val="20"/>
        </w:rPr>
        <w:t xml:space="preserve"> com també ho han fet els pagaments per dur a terme les inversions en especial les d’immobilitzat material, podríem dir que uns han crescut en una intensitat semblant unes a les altres.</w:t>
      </w:r>
    </w:p>
    <w:p w:rsidR="00E55F96" w:rsidRDefault="00E55F96" w:rsidP="002D48FA">
      <w:pPr>
        <w:jc w:val="both"/>
        <w:rPr>
          <w:rFonts w:ascii="Arial" w:hAnsi="Arial" w:cs="Arial"/>
          <w:color w:val="000361"/>
          <w:sz w:val="20"/>
          <w:szCs w:val="20"/>
        </w:rPr>
      </w:pPr>
    </w:p>
    <w:p w:rsidR="00A12F82" w:rsidRDefault="00E55F96" w:rsidP="002D48FA">
      <w:pPr>
        <w:jc w:val="both"/>
        <w:rPr>
          <w:rFonts w:ascii="Arial" w:hAnsi="Arial" w:cs="Arial"/>
          <w:color w:val="000361"/>
          <w:sz w:val="20"/>
          <w:szCs w:val="20"/>
        </w:rPr>
      </w:pPr>
      <w:r>
        <w:rPr>
          <w:rFonts w:ascii="Arial" w:hAnsi="Arial" w:cs="Arial"/>
          <w:color w:val="000361"/>
          <w:sz w:val="20"/>
          <w:szCs w:val="20"/>
        </w:rPr>
        <w:t>- L</w:t>
      </w:r>
      <w:r w:rsidR="00302B6C">
        <w:rPr>
          <w:rFonts w:ascii="Arial" w:hAnsi="Arial" w:cs="Arial"/>
          <w:color w:val="000361"/>
          <w:sz w:val="20"/>
          <w:szCs w:val="20"/>
        </w:rPr>
        <w:t>’evolució</w:t>
      </w:r>
      <w:r>
        <w:rPr>
          <w:rFonts w:ascii="Arial" w:hAnsi="Arial" w:cs="Arial"/>
          <w:color w:val="000361"/>
          <w:sz w:val="20"/>
          <w:szCs w:val="20"/>
        </w:rPr>
        <w:t xml:space="preserve"> tresoreria en termes generals ha anat minvant del 2015 al 2018</w:t>
      </w:r>
      <w:r w:rsidR="0056159E">
        <w:rPr>
          <w:rFonts w:ascii="Arial" w:hAnsi="Arial" w:cs="Arial"/>
          <w:color w:val="000361"/>
          <w:sz w:val="20"/>
          <w:szCs w:val="20"/>
        </w:rPr>
        <w:t xml:space="preserve">. </w:t>
      </w:r>
      <w:r w:rsidR="000B6235">
        <w:rPr>
          <w:rFonts w:ascii="Arial" w:hAnsi="Arial" w:cs="Arial"/>
          <w:color w:val="000361"/>
          <w:sz w:val="20"/>
          <w:szCs w:val="20"/>
        </w:rPr>
        <w:t>El</w:t>
      </w:r>
      <w:r w:rsidR="00302B6C">
        <w:rPr>
          <w:rFonts w:ascii="Arial" w:hAnsi="Arial" w:cs="Arial"/>
          <w:color w:val="000361"/>
          <w:sz w:val="20"/>
          <w:szCs w:val="20"/>
        </w:rPr>
        <w:t xml:space="preserve"> tipus de canvi €/$</w:t>
      </w:r>
      <w:r w:rsidR="0056159E">
        <w:rPr>
          <w:rFonts w:ascii="Arial" w:hAnsi="Arial" w:cs="Arial"/>
          <w:color w:val="000361"/>
          <w:sz w:val="20"/>
          <w:szCs w:val="20"/>
        </w:rPr>
        <w:t xml:space="preserve"> de les operacions comercials</w:t>
      </w:r>
      <w:r w:rsidR="00302B6C">
        <w:rPr>
          <w:rFonts w:ascii="Arial" w:hAnsi="Arial" w:cs="Arial"/>
          <w:color w:val="000361"/>
          <w:sz w:val="20"/>
          <w:szCs w:val="20"/>
        </w:rPr>
        <w:t xml:space="preserve"> té un gran impacte </w:t>
      </w:r>
      <w:r w:rsidR="0056159E">
        <w:rPr>
          <w:rFonts w:ascii="Arial" w:hAnsi="Arial" w:cs="Arial"/>
          <w:color w:val="000361"/>
          <w:sz w:val="20"/>
          <w:szCs w:val="20"/>
        </w:rPr>
        <w:t>en la liquiditat</w:t>
      </w:r>
      <w:r>
        <w:rPr>
          <w:rFonts w:ascii="Arial" w:hAnsi="Arial" w:cs="Arial"/>
          <w:color w:val="000361"/>
          <w:sz w:val="20"/>
          <w:szCs w:val="20"/>
        </w:rPr>
        <w:t>. A partir del 2018 s’observa</w:t>
      </w:r>
      <w:r w:rsidR="00302B6C">
        <w:rPr>
          <w:rFonts w:ascii="Arial" w:hAnsi="Arial" w:cs="Arial"/>
          <w:color w:val="000361"/>
          <w:sz w:val="20"/>
          <w:szCs w:val="20"/>
        </w:rPr>
        <w:t xml:space="preserve"> que l’empresa incrementa la tresoreria per mitjà del finançament amb entitats de crèdit per evitar tensions de caixa.</w:t>
      </w:r>
    </w:p>
    <w:p w:rsidR="00A12F82" w:rsidRDefault="00A12F82" w:rsidP="002D48FA">
      <w:pPr>
        <w:jc w:val="both"/>
        <w:rPr>
          <w:rFonts w:ascii="Arial" w:hAnsi="Arial" w:cs="Arial"/>
          <w:color w:val="000361"/>
          <w:sz w:val="20"/>
          <w:szCs w:val="20"/>
        </w:rPr>
      </w:pPr>
    </w:p>
    <w:p w:rsidR="00A12F82" w:rsidRDefault="00A12F82" w:rsidP="002D48FA">
      <w:pPr>
        <w:jc w:val="both"/>
        <w:rPr>
          <w:rFonts w:ascii="Arial" w:hAnsi="Arial" w:cs="Arial"/>
          <w:b/>
          <w:color w:val="000361"/>
        </w:rPr>
      </w:pPr>
      <w:r w:rsidRPr="00A12F82">
        <w:rPr>
          <w:rFonts w:ascii="Arial" w:hAnsi="Arial" w:cs="Arial"/>
          <w:b/>
          <w:color w:val="000361"/>
        </w:rPr>
        <w:t>2.7. Punts forts i punts febles de</w:t>
      </w:r>
      <w:r>
        <w:rPr>
          <w:rFonts w:ascii="Arial" w:hAnsi="Arial" w:cs="Arial"/>
          <w:b/>
          <w:color w:val="000361"/>
        </w:rPr>
        <w:t xml:space="preserve"> Laboratoris Hipra en</w:t>
      </w:r>
      <w:r w:rsidRPr="00A12F82">
        <w:rPr>
          <w:rFonts w:ascii="Arial" w:hAnsi="Arial" w:cs="Arial"/>
          <w:b/>
          <w:color w:val="000361"/>
        </w:rPr>
        <w:t xml:space="preserve"> l’anàlisi </w:t>
      </w:r>
      <w:r>
        <w:rPr>
          <w:rFonts w:ascii="Arial" w:hAnsi="Arial" w:cs="Arial"/>
          <w:b/>
          <w:color w:val="000361"/>
        </w:rPr>
        <w:t>dels comptes anuals</w:t>
      </w:r>
    </w:p>
    <w:p w:rsidR="00A12F82" w:rsidRDefault="00A12F82" w:rsidP="002D48FA">
      <w:pPr>
        <w:jc w:val="both"/>
        <w:rPr>
          <w:rFonts w:ascii="Arial" w:hAnsi="Arial" w:cs="Arial"/>
          <w:b/>
          <w:color w:val="000361"/>
        </w:rPr>
      </w:pPr>
    </w:p>
    <w:p w:rsidR="00A12F82" w:rsidRPr="00A12F82" w:rsidRDefault="00A12F82" w:rsidP="002D48FA">
      <w:pPr>
        <w:jc w:val="both"/>
        <w:rPr>
          <w:rFonts w:ascii="Arial" w:hAnsi="Arial" w:cs="Arial"/>
          <w:color w:val="000361"/>
          <w:sz w:val="20"/>
          <w:szCs w:val="20"/>
          <w:u w:val="single"/>
        </w:rPr>
      </w:pPr>
      <w:r w:rsidRPr="00A12F82">
        <w:rPr>
          <w:rFonts w:ascii="Arial" w:hAnsi="Arial" w:cs="Arial"/>
          <w:color w:val="000361"/>
          <w:sz w:val="20"/>
          <w:szCs w:val="20"/>
          <w:u w:val="single"/>
        </w:rPr>
        <w:t>Fortaleses:</w:t>
      </w:r>
    </w:p>
    <w:p w:rsidR="00A12F82" w:rsidRDefault="00A12F82" w:rsidP="002D48FA">
      <w:pPr>
        <w:jc w:val="both"/>
        <w:rPr>
          <w:rFonts w:ascii="Arial" w:hAnsi="Arial" w:cs="Arial"/>
          <w:color w:val="000361"/>
          <w:sz w:val="20"/>
          <w:szCs w:val="20"/>
        </w:rPr>
      </w:pPr>
    </w:p>
    <w:p w:rsidR="00A12F82" w:rsidRDefault="00A12F82" w:rsidP="002D48FA">
      <w:pPr>
        <w:jc w:val="both"/>
        <w:rPr>
          <w:rFonts w:ascii="Arial" w:hAnsi="Arial" w:cs="Arial"/>
          <w:color w:val="000361"/>
          <w:sz w:val="20"/>
          <w:szCs w:val="20"/>
        </w:rPr>
      </w:pPr>
      <w:r>
        <w:rPr>
          <w:rFonts w:ascii="Arial" w:hAnsi="Arial" w:cs="Arial"/>
          <w:color w:val="000361"/>
          <w:sz w:val="20"/>
          <w:szCs w:val="20"/>
        </w:rPr>
        <w:t>- Tendència a l’alça de les vendes.</w:t>
      </w:r>
    </w:p>
    <w:p w:rsidR="00A12F82" w:rsidRDefault="00A12F82" w:rsidP="002D48FA">
      <w:pPr>
        <w:jc w:val="both"/>
        <w:rPr>
          <w:rFonts w:ascii="Arial" w:hAnsi="Arial" w:cs="Arial"/>
          <w:color w:val="000361"/>
          <w:sz w:val="20"/>
          <w:szCs w:val="20"/>
        </w:rPr>
      </w:pPr>
      <w:r>
        <w:rPr>
          <w:rFonts w:ascii="Arial" w:hAnsi="Arial" w:cs="Arial"/>
          <w:color w:val="000361"/>
          <w:sz w:val="20"/>
          <w:szCs w:val="20"/>
        </w:rPr>
        <w:t>- Bona rendibilitat econòmica.</w:t>
      </w:r>
    </w:p>
    <w:p w:rsidR="00A12F82" w:rsidRDefault="00A12F82" w:rsidP="002D48FA">
      <w:pPr>
        <w:jc w:val="both"/>
        <w:rPr>
          <w:rFonts w:ascii="Arial" w:hAnsi="Arial" w:cs="Arial"/>
          <w:color w:val="000361"/>
          <w:sz w:val="20"/>
          <w:szCs w:val="20"/>
        </w:rPr>
      </w:pPr>
      <w:r>
        <w:rPr>
          <w:rFonts w:ascii="Arial" w:hAnsi="Arial" w:cs="Arial"/>
          <w:color w:val="000361"/>
          <w:sz w:val="20"/>
          <w:szCs w:val="20"/>
        </w:rPr>
        <w:t>- Solvència i capacitat d’endeutament.</w:t>
      </w:r>
    </w:p>
    <w:p w:rsidR="00A12F82" w:rsidRDefault="00A12F82" w:rsidP="002D48FA">
      <w:pPr>
        <w:jc w:val="both"/>
        <w:rPr>
          <w:rFonts w:ascii="Arial" w:hAnsi="Arial" w:cs="Arial"/>
          <w:color w:val="000361"/>
          <w:sz w:val="20"/>
          <w:szCs w:val="20"/>
        </w:rPr>
      </w:pPr>
      <w:r>
        <w:rPr>
          <w:rFonts w:ascii="Arial" w:hAnsi="Arial" w:cs="Arial"/>
          <w:color w:val="000361"/>
          <w:sz w:val="20"/>
          <w:szCs w:val="20"/>
        </w:rPr>
        <w:t>- Independència financera donat que principalment usa recursos propis.</w:t>
      </w:r>
    </w:p>
    <w:p w:rsidR="00A12F82" w:rsidRDefault="00A12F82" w:rsidP="002D48FA">
      <w:pPr>
        <w:jc w:val="both"/>
        <w:rPr>
          <w:rFonts w:ascii="Arial" w:hAnsi="Arial" w:cs="Arial"/>
          <w:color w:val="000361"/>
          <w:sz w:val="20"/>
          <w:szCs w:val="20"/>
        </w:rPr>
      </w:pPr>
      <w:r>
        <w:rPr>
          <w:rFonts w:ascii="Arial" w:hAnsi="Arial" w:cs="Arial"/>
          <w:color w:val="000361"/>
          <w:sz w:val="20"/>
          <w:szCs w:val="20"/>
        </w:rPr>
        <w:t>- Inversions en investigació.</w:t>
      </w:r>
    </w:p>
    <w:p w:rsidR="00A12F82" w:rsidRDefault="00A12F82" w:rsidP="002D48FA">
      <w:pPr>
        <w:jc w:val="both"/>
        <w:rPr>
          <w:rFonts w:ascii="Arial" w:hAnsi="Arial" w:cs="Arial"/>
          <w:color w:val="000361"/>
          <w:sz w:val="20"/>
          <w:szCs w:val="20"/>
        </w:rPr>
      </w:pPr>
    </w:p>
    <w:p w:rsidR="00A12F82" w:rsidRDefault="00A12F82" w:rsidP="002D48FA">
      <w:pPr>
        <w:jc w:val="both"/>
        <w:rPr>
          <w:rFonts w:ascii="Arial" w:hAnsi="Arial" w:cs="Arial"/>
          <w:color w:val="000361"/>
          <w:sz w:val="20"/>
          <w:szCs w:val="20"/>
        </w:rPr>
      </w:pPr>
    </w:p>
    <w:p w:rsidR="00A12F82" w:rsidRPr="00A12F82" w:rsidRDefault="00A12F82" w:rsidP="002D48FA">
      <w:pPr>
        <w:jc w:val="both"/>
        <w:rPr>
          <w:rFonts w:ascii="Arial" w:hAnsi="Arial" w:cs="Arial"/>
          <w:color w:val="000361"/>
          <w:sz w:val="20"/>
          <w:szCs w:val="20"/>
          <w:u w:val="single"/>
        </w:rPr>
      </w:pPr>
      <w:r w:rsidRPr="00A12F82">
        <w:rPr>
          <w:rFonts w:ascii="Arial" w:hAnsi="Arial" w:cs="Arial"/>
          <w:color w:val="000361"/>
          <w:sz w:val="20"/>
          <w:szCs w:val="20"/>
          <w:u w:val="single"/>
        </w:rPr>
        <w:t>Debilitats:</w:t>
      </w:r>
    </w:p>
    <w:p w:rsidR="00A12F82" w:rsidRDefault="00A12F82" w:rsidP="002D48FA">
      <w:pPr>
        <w:jc w:val="both"/>
        <w:rPr>
          <w:rFonts w:ascii="Arial" w:hAnsi="Arial" w:cs="Arial"/>
          <w:b/>
          <w:color w:val="000361"/>
          <w:sz w:val="20"/>
          <w:szCs w:val="20"/>
        </w:rPr>
      </w:pPr>
    </w:p>
    <w:p w:rsidR="00A12F82" w:rsidRDefault="00A12F82" w:rsidP="002D48FA">
      <w:pPr>
        <w:jc w:val="both"/>
        <w:rPr>
          <w:rFonts w:ascii="Arial" w:hAnsi="Arial" w:cs="Arial"/>
          <w:color w:val="000361"/>
          <w:sz w:val="20"/>
          <w:szCs w:val="20"/>
        </w:rPr>
      </w:pPr>
      <w:r>
        <w:rPr>
          <w:rFonts w:ascii="Arial" w:hAnsi="Arial" w:cs="Arial"/>
          <w:color w:val="000361"/>
          <w:sz w:val="20"/>
          <w:szCs w:val="20"/>
        </w:rPr>
        <w:t>- Augment de despeses salarials i inversions en actius no corrents que no són capaços de donar resultats d’immediat.</w:t>
      </w:r>
    </w:p>
    <w:p w:rsidR="00A12F82" w:rsidRDefault="00A12F82" w:rsidP="002D48FA">
      <w:pPr>
        <w:jc w:val="both"/>
        <w:rPr>
          <w:rFonts w:ascii="Arial" w:hAnsi="Arial" w:cs="Arial"/>
          <w:color w:val="000361"/>
          <w:sz w:val="20"/>
          <w:szCs w:val="20"/>
        </w:rPr>
      </w:pPr>
      <w:r>
        <w:rPr>
          <w:rFonts w:ascii="Arial" w:hAnsi="Arial" w:cs="Arial"/>
          <w:color w:val="000361"/>
          <w:sz w:val="20"/>
          <w:szCs w:val="20"/>
        </w:rPr>
        <w:t>- Risc pel tipus canviari de les operacions comercials.</w:t>
      </w:r>
    </w:p>
    <w:p w:rsidR="00A12F82" w:rsidRDefault="00A12F82" w:rsidP="002D48FA">
      <w:pPr>
        <w:jc w:val="both"/>
        <w:rPr>
          <w:rFonts w:ascii="Arial" w:hAnsi="Arial" w:cs="Arial"/>
          <w:color w:val="000361"/>
          <w:sz w:val="20"/>
          <w:szCs w:val="20"/>
        </w:rPr>
      </w:pPr>
      <w:r>
        <w:rPr>
          <w:rFonts w:ascii="Arial" w:hAnsi="Arial" w:cs="Arial"/>
          <w:color w:val="000361"/>
          <w:sz w:val="20"/>
          <w:szCs w:val="20"/>
        </w:rPr>
        <w:t xml:space="preserve">- La liquiditat tendeix a </w:t>
      </w:r>
      <w:r w:rsidR="006012D2">
        <w:rPr>
          <w:rFonts w:ascii="Arial" w:hAnsi="Arial" w:cs="Arial"/>
          <w:color w:val="000361"/>
          <w:sz w:val="20"/>
          <w:szCs w:val="20"/>
        </w:rPr>
        <w:t>disminuir</w:t>
      </w:r>
    </w:p>
    <w:p w:rsidR="00A010D7" w:rsidRDefault="00A010D7" w:rsidP="002D48FA">
      <w:pPr>
        <w:jc w:val="both"/>
        <w:rPr>
          <w:rFonts w:ascii="Arial" w:hAnsi="Arial" w:cs="Arial"/>
          <w:b/>
          <w:color w:val="000361"/>
          <w:sz w:val="20"/>
          <w:szCs w:val="20"/>
        </w:rPr>
      </w:pPr>
    </w:p>
    <w:p w:rsidR="00A12F82" w:rsidRPr="00A12F82" w:rsidRDefault="00A12F82" w:rsidP="002D48FA">
      <w:pPr>
        <w:jc w:val="both"/>
        <w:rPr>
          <w:rFonts w:ascii="Arial" w:hAnsi="Arial" w:cs="Arial"/>
          <w:b/>
          <w:color w:val="000361"/>
          <w:sz w:val="20"/>
          <w:szCs w:val="20"/>
        </w:rPr>
      </w:pPr>
    </w:p>
    <w:p w:rsidR="00AB387A" w:rsidRPr="009A0474" w:rsidRDefault="00106DD6" w:rsidP="002D48FA">
      <w:pPr>
        <w:jc w:val="both"/>
        <w:rPr>
          <w:rFonts w:ascii="Arial" w:hAnsi="Arial" w:cs="Arial"/>
          <w:b/>
          <w:color w:val="000361"/>
        </w:rPr>
      </w:pPr>
      <w:r w:rsidRPr="009A0474">
        <w:rPr>
          <w:rFonts w:ascii="Arial" w:hAnsi="Arial" w:cs="Arial"/>
          <w:b/>
          <w:color w:val="000361"/>
        </w:rPr>
        <w:t>3. ANÀLISI SECTORIAL</w:t>
      </w:r>
    </w:p>
    <w:p w:rsidR="00D102D8" w:rsidRPr="009A0474" w:rsidRDefault="00D102D8" w:rsidP="002D48FA">
      <w:pPr>
        <w:jc w:val="both"/>
        <w:rPr>
          <w:rFonts w:ascii="Arial" w:hAnsi="Arial" w:cs="Arial"/>
          <w:b/>
          <w:color w:val="000361"/>
        </w:rPr>
      </w:pPr>
    </w:p>
    <w:p w:rsidR="00AB387A" w:rsidRPr="009A0474" w:rsidRDefault="00AB387A" w:rsidP="002D48FA">
      <w:pPr>
        <w:jc w:val="both"/>
        <w:rPr>
          <w:rFonts w:ascii="Arial" w:hAnsi="Arial" w:cs="Arial"/>
          <w:b/>
          <w:color w:val="000361"/>
        </w:rPr>
      </w:pPr>
      <w:r w:rsidRPr="009A0474">
        <w:rPr>
          <w:rFonts w:ascii="Arial" w:hAnsi="Arial" w:cs="Arial"/>
          <w:b/>
          <w:color w:val="000361"/>
        </w:rPr>
        <w:t>3.1. Anàlisi de l’entorn general (social i econòmic)</w:t>
      </w:r>
    </w:p>
    <w:p w:rsidR="003E0C0E" w:rsidRDefault="003E0C0E" w:rsidP="002D48FA">
      <w:pPr>
        <w:jc w:val="both"/>
        <w:rPr>
          <w:rFonts w:ascii="Arial" w:hAnsi="Arial" w:cs="Arial"/>
          <w:b/>
          <w:color w:val="000361"/>
          <w:sz w:val="20"/>
          <w:szCs w:val="20"/>
        </w:rPr>
      </w:pPr>
    </w:p>
    <w:p w:rsidR="003E0C0E" w:rsidRPr="00723DE5" w:rsidRDefault="00D102D8" w:rsidP="002D48FA">
      <w:pPr>
        <w:jc w:val="both"/>
        <w:rPr>
          <w:rFonts w:ascii="Arial" w:hAnsi="Arial" w:cs="Arial"/>
          <w:color w:val="000361"/>
          <w:sz w:val="20"/>
          <w:szCs w:val="20"/>
        </w:rPr>
      </w:pPr>
      <w:r w:rsidRPr="00723DE5">
        <w:rPr>
          <w:rFonts w:ascii="Arial" w:hAnsi="Arial" w:cs="Arial"/>
          <w:color w:val="000361"/>
          <w:sz w:val="20"/>
          <w:szCs w:val="20"/>
        </w:rPr>
        <w:t>Pels període comprès entre el 2015-2019 que són objecte d’estudi, els aspectes que han tingut major incidència en el sector on desenvolupa la seva activitat Laboratoris HIPRA són:</w:t>
      </w:r>
    </w:p>
    <w:p w:rsidR="00D102D8" w:rsidRPr="00723DE5" w:rsidRDefault="00D102D8" w:rsidP="002D48FA">
      <w:pPr>
        <w:jc w:val="both"/>
        <w:rPr>
          <w:rFonts w:ascii="Arial" w:hAnsi="Arial" w:cs="Arial"/>
          <w:color w:val="000361"/>
          <w:sz w:val="20"/>
          <w:szCs w:val="20"/>
        </w:rPr>
      </w:pPr>
    </w:p>
    <w:p w:rsidR="00D102D8" w:rsidRPr="00723DE5" w:rsidRDefault="00D102D8" w:rsidP="00D102D8">
      <w:pPr>
        <w:pStyle w:val="Prrafodelista"/>
        <w:numPr>
          <w:ilvl w:val="0"/>
          <w:numId w:val="11"/>
        </w:numPr>
        <w:jc w:val="both"/>
        <w:rPr>
          <w:rFonts w:ascii="Arial" w:hAnsi="Arial" w:cs="Arial"/>
          <w:color w:val="000361"/>
          <w:sz w:val="20"/>
          <w:szCs w:val="20"/>
        </w:rPr>
      </w:pPr>
      <w:r w:rsidRPr="00723DE5">
        <w:rPr>
          <w:rFonts w:ascii="Arial" w:hAnsi="Arial" w:cs="Arial"/>
          <w:color w:val="000361"/>
          <w:sz w:val="20"/>
          <w:szCs w:val="20"/>
        </w:rPr>
        <w:t>El desenvolupament econòmic de les classes baixes i mitjanes dels països asiàtics, especialment la Xina. Aquest fet explica alguns ca</w:t>
      </w:r>
      <w:r w:rsidR="00F72FE4" w:rsidRPr="00723DE5">
        <w:rPr>
          <w:rFonts w:ascii="Arial" w:hAnsi="Arial" w:cs="Arial"/>
          <w:color w:val="000361"/>
          <w:sz w:val="20"/>
          <w:szCs w:val="20"/>
        </w:rPr>
        <w:t>nvis d’hàbits amb la creixent demanda d’animals domèstics en aquells territoris i també en un major consum de proteïnes que provenen d’aliments d’origen animal.</w:t>
      </w:r>
    </w:p>
    <w:p w:rsidR="00F72FE4" w:rsidRPr="00723DE5" w:rsidRDefault="00F72FE4" w:rsidP="00F72FE4">
      <w:pPr>
        <w:jc w:val="both"/>
        <w:rPr>
          <w:rFonts w:ascii="Arial" w:hAnsi="Arial" w:cs="Arial"/>
          <w:color w:val="000361"/>
          <w:sz w:val="20"/>
          <w:szCs w:val="20"/>
        </w:rPr>
      </w:pPr>
    </w:p>
    <w:p w:rsidR="00F72FE4" w:rsidRPr="00723DE5" w:rsidRDefault="00F72FE4" w:rsidP="00F72FE4">
      <w:pPr>
        <w:pStyle w:val="Prrafodelista"/>
        <w:numPr>
          <w:ilvl w:val="0"/>
          <w:numId w:val="11"/>
        </w:numPr>
        <w:jc w:val="both"/>
        <w:rPr>
          <w:rFonts w:ascii="Arial" w:hAnsi="Arial" w:cs="Arial"/>
          <w:color w:val="000361"/>
          <w:sz w:val="20"/>
          <w:szCs w:val="20"/>
        </w:rPr>
      </w:pPr>
      <w:r w:rsidRPr="00723DE5">
        <w:rPr>
          <w:rFonts w:ascii="Arial" w:hAnsi="Arial" w:cs="Arial"/>
          <w:color w:val="000361"/>
          <w:sz w:val="20"/>
          <w:szCs w:val="20"/>
        </w:rPr>
        <w:t xml:space="preserve">Creixent preocupació l’ús abusiu dels antibiòtics donat que els bacteris esdevenen més resistents i difícils de combatre per mitjà dels actuals productes biològics. Actualment s’estan aplicant mesures restrictives en molts països perquè siguin administrats </w:t>
      </w:r>
      <w:r w:rsidR="00205A56" w:rsidRPr="00723DE5">
        <w:rPr>
          <w:rFonts w:ascii="Arial" w:hAnsi="Arial" w:cs="Arial"/>
          <w:color w:val="000361"/>
          <w:sz w:val="20"/>
          <w:szCs w:val="20"/>
        </w:rPr>
        <w:t>només per causes justificades.</w:t>
      </w:r>
    </w:p>
    <w:p w:rsidR="00205A56" w:rsidRPr="00723DE5" w:rsidRDefault="00205A56" w:rsidP="00205A56">
      <w:pPr>
        <w:pStyle w:val="Prrafodelista"/>
        <w:jc w:val="both"/>
        <w:rPr>
          <w:rFonts w:ascii="Arial" w:hAnsi="Arial" w:cs="Arial"/>
          <w:color w:val="000361"/>
          <w:sz w:val="20"/>
          <w:szCs w:val="20"/>
        </w:rPr>
      </w:pPr>
    </w:p>
    <w:p w:rsidR="00205A56" w:rsidRPr="00723DE5" w:rsidRDefault="00205A56" w:rsidP="00205A56">
      <w:pPr>
        <w:pStyle w:val="Prrafodelista"/>
        <w:numPr>
          <w:ilvl w:val="0"/>
          <w:numId w:val="11"/>
        </w:numPr>
        <w:jc w:val="both"/>
        <w:rPr>
          <w:rFonts w:ascii="Arial" w:hAnsi="Arial" w:cs="Arial"/>
          <w:color w:val="000361"/>
          <w:sz w:val="20"/>
          <w:szCs w:val="20"/>
        </w:rPr>
      </w:pPr>
      <w:r w:rsidRPr="00723DE5">
        <w:rPr>
          <w:rFonts w:ascii="Arial" w:hAnsi="Arial" w:cs="Arial"/>
          <w:color w:val="000361"/>
          <w:sz w:val="20"/>
          <w:szCs w:val="20"/>
        </w:rPr>
        <w:t>El mercat demanda productes alimentaris cada cop és més exigent amb qualitat i la manera com s’ha produït. Això deriva amb unes majors necessitats de control i traçabilitat de la producció en totes les seves etapes.</w:t>
      </w:r>
    </w:p>
    <w:p w:rsidR="00205A56" w:rsidRPr="00723DE5" w:rsidRDefault="00205A56" w:rsidP="00205A56">
      <w:pPr>
        <w:ind w:left="360"/>
        <w:jc w:val="both"/>
        <w:rPr>
          <w:rFonts w:ascii="Arial" w:hAnsi="Arial" w:cs="Arial"/>
          <w:color w:val="000361"/>
          <w:sz w:val="20"/>
          <w:szCs w:val="20"/>
        </w:rPr>
      </w:pPr>
    </w:p>
    <w:p w:rsidR="00205A56" w:rsidRPr="00723DE5" w:rsidRDefault="00205A56" w:rsidP="00205A56">
      <w:pPr>
        <w:pStyle w:val="Prrafodelista"/>
        <w:numPr>
          <w:ilvl w:val="0"/>
          <w:numId w:val="11"/>
        </w:numPr>
        <w:jc w:val="both"/>
        <w:rPr>
          <w:rFonts w:ascii="Arial" w:hAnsi="Arial" w:cs="Arial"/>
          <w:color w:val="000361"/>
          <w:sz w:val="20"/>
          <w:szCs w:val="20"/>
        </w:rPr>
      </w:pPr>
      <w:r w:rsidRPr="00723DE5">
        <w:rPr>
          <w:rFonts w:ascii="Arial" w:hAnsi="Arial" w:cs="Arial"/>
          <w:color w:val="000361"/>
          <w:sz w:val="20"/>
          <w:szCs w:val="20"/>
        </w:rPr>
        <w:t>Augmenta la sensibilitat social sobre el benestar dels animals</w:t>
      </w:r>
      <w:r w:rsidR="00723DE5" w:rsidRPr="00723DE5">
        <w:rPr>
          <w:rFonts w:ascii="Arial" w:hAnsi="Arial" w:cs="Arial"/>
          <w:color w:val="000361"/>
          <w:sz w:val="20"/>
          <w:szCs w:val="20"/>
        </w:rPr>
        <w:t>, tant domèstics com de producció.</w:t>
      </w:r>
    </w:p>
    <w:p w:rsidR="00F72FE4" w:rsidRPr="00723DE5" w:rsidRDefault="00F72FE4" w:rsidP="00F72FE4">
      <w:pPr>
        <w:pStyle w:val="Prrafodelista"/>
        <w:jc w:val="both"/>
        <w:rPr>
          <w:rFonts w:ascii="Arial" w:hAnsi="Arial" w:cs="Arial"/>
          <w:color w:val="000361"/>
          <w:sz w:val="20"/>
          <w:szCs w:val="20"/>
        </w:rPr>
      </w:pPr>
    </w:p>
    <w:p w:rsidR="003E0C0E" w:rsidRPr="00B7546F" w:rsidRDefault="00723DE5" w:rsidP="002D48FA">
      <w:pPr>
        <w:jc w:val="both"/>
        <w:rPr>
          <w:rFonts w:ascii="Arial" w:hAnsi="Arial" w:cs="Arial"/>
          <w:color w:val="000361"/>
          <w:sz w:val="20"/>
          <w:szCs w:val="20"/>
        </w:rPr>
      </w:pPr>
      <w:r w:rsidRPr="00B7546F">
        <w:rPr>
          <w:rFonts w:ascii="Arial" w:hAnsi="Arial" w:cs="Arial"/>
          <w:color w:val="000361"/>
          <w:sz w:val="20"/>
          <w:szCs w:val="20"/>
        </w:rPr>
        <w:t xml:space="preserve">L’any 2019 apareix la COVID-19 que a partir del 2020 està suposant un gran impacte en l’àmbit econòmic i social a nivell mundial. L’estudi </w:t>
      </w:r>
      <w:r w:rsidR="00E01C26" w:rsidRPr="00B7546F">
        <w:rPr>
          <w:rFonts w:ascii="Arial" w:hAnsi="Arial" w:cs="Arial"/>
          <w:color w:val="000361"/>
          <w:sz w:val="20"/>
          <w:szCs w:val="20"/>
        </w:rPr>
        <w:t xml:space="preserve">sobre els comptes anuals </w:t>
      </w:r>
      <w:r w:rsidRPr="00B7546F">
        <w:rPr>
          <w:rFonts w:ascii="Arial" w:hAnsi="Arial" w:cs="Arial"/>
          <w:color w:val="000361"/>
          <w:sz w:val="20"/>
          <w:szCs w:val="20"/>
        </w:rPr>
        <w:t>està referenciat al període 2015-2019</w:t>
      </w:r>
      <w:r w:rsidR="00E01C26" w:rsidRPr="00B7546F">
        <w:rPr>
          <w:rFonts w:ascii="Arial" w:hAnsi="Arial" w:cs="Arial"/>
          <w:color w:val="000361"/>
          <w:sz w:val="20"/>
          <w:szCs w:val="20"/>
        </w:rPr>
        <w:t xml:space="preserve"> i per tant no reflexa els efectes de la COVID</w:t>
      </w:r>
      <w:r w:rsidRPr="00B7546F">
        <w:rPr>
          <w:rFonts w:ascii="Arial" w:hAnsi="Arial" w:cs="Arial"/>
          <w:color w:val="000361"/>
          <w:sz w:val="20"/>
          <w:szCs w:val="20"/>
        </w:rPr>
        <w:t xml:space="preserve"> </w:t>
      </w:r>
      <w:r w:rsidR="00E01C26" w:rsidRPr="00B7546F">
        <w:rPr>
          <w:rFonts w:ascii="Arial" w:hAnsi="Arial" w:cs="Arial"/>
          <w:color w:val="000361"/>
          <w:sz w:val="20"/>
          <w:szCs w:val="20"/>
        </w:rPr>
        <w:t>que</w:t>
      </w:r>
      <w:r w:rsidRPr="00B7546F">
        <w:rPr>
          <w:rFonts w:ascii="Arial" w:hAnsi="Arial" w:cs="Arial"/>
          <w:color w:val="000361"/>
          <w:sz w:val="20"/>
          <w:szCs w:val="20"/>
        </w:rPr>
        <w:t xml:space="preserve"> serà tractat en els apartats relacionats amb</w:t>
      </w:r>
      <w:r w:rsidR="00E01C26" w:rsidRPr="00B7546F">
        <w:rPr>
          <w:rFonts w:ascii="Arial" w:hAnsi="Arial" w:cs="Arial"/>
          <w:color w:val="000361"/>
          <w:sz w:val="20"/>
          <w:szCs w:val="20"/>
        </w:rPr>
        <w:t xml:space="preserve"> les perspectives futures de l’empresa.</w:t>
      </w:r>
    </w:p>
    <w:p w:rsidR="003E0C0E" w:rsidRPr="004E038A" w:rsidRDefault="003E0C0E" w:rsidP="002D48FA">
      <w:pPr>
        <w:jc w:val="both"/>
        <w:rPr>
          <w:rFonts w:ascii="Arial" w:hAnsi="Arial" w:cs="Arial"/>
          <w:b/>
          <w:color w:val="000361"/>
          <w:sz w:val="20"/>
          <w:szCs w:val="20"/>
        </w:rPr>
      </w:pPr>
    </w:p>
    <w:p w:rsidR="00AB387A" w:rsidRPr="009276A2" w:rsidRDefault="00AB387A" w:rsidP="002D48FA">
      <w:pPr>
        <w:jc w:val="both"/>
        <w:rPr>
          <w:rFonts w:ascii="Arial" w:hAnsi="Arial" w:cs="Arial"/>
          <w:b/>
          <w:color w:val="000361"/>
        </w:rPr>
      </w:pPr>
      <w:r w:rsidRPr="009276A2">
        <w:rPr>
          <w:rFonts w:ascii="Arial" w:hAnsi="Arial" w:cs="Arial"/>
          <w:b/>
          <w:color w:val="000361"/>
        </w:rPr>
        <w:t xml:space="preserve">3.2. </w:t>
      </w:r>
      <w:r w:rsidR="009276A2">
        <w:rPr>
          <w:rFonts w:ascii="Arial" w:hAnsi="Arial" w:cs="Arial"/>
          <w:b/>
          <w:color w:val="000361"/>
        </w:rPr>
        <w:t>El s</w:t>
      </w:r>
      <w:r w:rsidRPr="009276A2">
        <w:rPr>
          <w:rFonts w:ascii="Arial" w:hAnsi="Arial" w:cs="Arial"/>
          <w:b/>
          <w:color w:val="000361"/>
        </w:rPr>
        <w:t>ector farmacèutic</w:t>
      </w:r>
    </w:p>
    <w:p w:rsidR="00E01C26" w:rsidRDefault="00E01C26" w:rsidP="002D48FA">
      <w:pPr>
        <w:jc w:val="both"/>
        <w:rPr>
          <w:rFonts w:ascii="Arial" w:hAnsi="Arial" w:cs="Arial"/>
          <w:b/>
          <w:color w:val="000361"/>
          <w:sz w:val="20"/>
          <w:szCs w:val="20"/>
        </w:rPr>
      </w:pPr>
    </w:p>
    <w:p w:rsidR="00E01C26" w:rsidRPr="008B34AF" w:rsidRDefault="008B34AF" w:rsidP="002D48FA">
      <w:pPr>
        <w:jc w:val="both"/>
        <w:rPr>
          <w:rFonts w:ascii="Arial" w:hAnsi="Arial" w:cs="Arial"/>
          <w:color w:val="000361"/>
          <w:sz w:val="20"/>
          <w:szCs w:val="20"/>
        </w:rPr>
      </w:pPr>
      <w:r w:rsidRPr="008B34AF">
        <w:rPr>
          <w:rFonts w:ascii="Arial" w:hAnsi="Arial" w:cs="Arial"/>
          <w:color w:val="000361"/>
          <w:sz w:val="20"/>
          <w:szCs w:val="20"/>
        </w:rPr>
        <w:t>La indústria farmacèutica és un sector que tendeix a créixer com mostra el següent gràfic:</w:t>
      </w:r>
    </w:p>
    <w:p w:rsidR="008B34AF" w:rsidRDefault="008B34AF" w:rsidP="002D48FA">
      <w:pPr>
        <w:jc w:val="both"/>
        <w:rPr>
          <w:rFonts w:ascii="Arial" w:hAnsi="Arial" w:cs="Arial"/>
          <w:b/>
          <w:color w:val="000361"/>
          <w:sz w:val="20"/>
          <w:szCs w:val="20"/>
        </w:rPr>
      </w:pPr>
    </w:p>
    <w:tbl>
      <w:tblPr>
        <w:tblStyle w:val="Tablaconcuadrcula"/>
        <w:tblW w:w="9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44"/>
      </w:tblGrid>
      <w:tr w:rsidR="0036789D" w:rsidRPr="0036789D" w:rsidTr="0036789D">
        <w:trPr>
          <w:trHeight w:val="242"/>
        </w:trPr>
        <w:tc>
          <w:tcPr>
            <w:tcW w:w="4673" w:type="dxa"/>
          </w:tcPr>
          <w:p w:rsidR="0036789D" w:rsidRPr="0036789D" w:rsidRDefault="0036789D" w:rsidP="002D48FA">
            <w:pPr>
              <w:jc w:val="both"/>
              <w:rPr>
                <w:rFonts w:ascii="Arial" w:hAnsi="Arial" w:cs="Arial"/>
                <w:color w:val="002060"/>
                <w:sz w:val="20"/>
                <w:szCs w:val="20"/>
              </w:rPr>
            </w:pPr>
            <w:r w:rsidRPr="0036789D">
              <w:rPr>
                <w:rFonts w:ascii="Arial" w:hAnsi="Arial" w:cs="Arial"/>
                <w:color w:val="002060"/>
                <w:sz w:val="20"/>
                <w:szCs w:val="20"/>
              </w:rPr>
              <w:t>Gràfic 3.1</w:t>
            </w:r>
            <w:r>
              <w:rPr>
                <w:rFonts w:ascii="Arial" w:hAnsi="Arial" w:cs="Arial"/>
                <w:color w:val="002060"/>
                <w:sz w:val="20"/>
                <w:szCs w:val="20"/>
              </w:rPr>
              <w:t xml:space="preserve"> Ingressos indústria farmacèutica</w:t>
            </w:r>
          </w:p>
        </w:tc>
        <w:tc>
          <w:tcPr>
            <w:tcW w:w="4644" w:type="dxa"/>
          </w:tcPr>
          <w:p w:rsidR="0036789D" w:rsidRPr="0036789D" w:rsidRDefault="0036789D" w:rsidP="002D48FA">
            <w:pPr>
              <w:jc w:val="both"/>
              <w:rPr>
                <w:rFonts w:ascii="Arial" w:hAnsi="Arial" w:cs="Arial"/>
                <w:color w:val="002060"/>
                <w:sz w:val="20"/>
                <w:szCs w:val="20"/>
              </w:rPr>
            </w:pPr>
            <w:r>
              <w:rPr>
                <w:rFonts w:ascii="Arial" w:hAnsi="Arial" w:cs="Arial"/>
                <w:color w:val="002060"/>
                <w:sz w:val="20"/>
                <w:szCs w:val="20"/>
              </w:rPr>
              <w:t>Gràfic 3.2 Ingressos del sector animal dins la indústria farmacèutica</w:t>
            </w:r>
          </w:p>
        </w:tc>
      </w:tr>
      <w:tr w:rsidR="0036789D" w:rsidRPr="0036789D" w:rsidTr="0036789D">
        <w:trPr>
          <w:trHeight w:val="2530"/>
        </w:trPr>
        <w:tc>
          <w:tcPr>
            <w:tcW w:w="4673" w:type="dxa"/>
          </w:tcPr>
          <w:p w:rsidR="0036789D" w:rsidRPr="0036789D" w:rsidRDefault="0036789D" w:rsidP="002D48FA">
            <w:pPr>
              <w:jc w:val="both"/>
              <w:rPr>
                <w:rFonts w:ascii="Arial" w:hAnsi="Arial" w:cs="Arial"/>
                <w:color w:val="002060"/>
                <w:sz w:val="20"/>
                <w:szCs w:val="20"/>
              </w:rPr>
            </w:pPr>
            <w:r w:rsidRPr="0036789D">
              <w:rPr>
                <w:rFonts w:ascii="Arial" w:hAnsi="Arial" w:cs="Arial"/>
                <w:noProof/>
                <w:color w:val="002060"/>
                <w:sz w:val="20"/>
                <w:szCs w:val="20"/>
              </w:rPr>
              <w:drawing>
                <wp:inline distT="0" distB="0" distL="0" distR="0" wp14:anchorId="3A0E80BB" wp14:editId="596D5AD3">
                  <wp:extent cx="2758962" cy="152082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1-03-07 a les 13.01.3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93173" cy="1539683"/>
                          </a:xfrm>
                          <a:prstGeom prst="rect">
                            <a:avLst/>
                          </a:prstGeom>
                        </pic:spPr>
                      </pic:pic>
                    </a:graphicData>
                  </a:graphic>
                </wp:inline>
              </w:drawing>
            </w:r>
          </w:p>
        </w:tc>
        <w:tc>
          <w:tcPr>
            <w:tcW w:w="4644" w:type="dxa"/>
          </w:tcPr>
          <w:p w:rsidR="0036789D" w:rsidRPr="0036789D" w:rsidRDefault="0036789D" w:rsidP="002D48FA">
            <w:pPr>
              <w:jc w:val="both"/>
              <w:rPr>
                <w:rFonts w:ascii="Arial" w:hAnsi="Arial" w:cs="Arial"/>
                <w:color w:val="002060"/>
                <w:sz w:val="20"/>
                <w:szCs w:val="20"/>
              </w:rPr>
            </w:pPr>
            <w:r w:rsidRPr="0036789D">
              <w:rPr>
                <w:rFonts w:ascii="Arial" w:hAnsi="Arial" w:cs="Arial"/>
                <w:noProof/>
                <w:color w:val="002060"/>
                <w:sz w:val="20"/>
                <w:szCs w:val="20"/>
              </w:rPr>
              <w:drawing>
                <wp:inline distT="0" distB="0" distL="0" distR="0" wp14:anchorId="2D30F791" wp14:editId="4A96403B">
                  <wp:extent cx="2724260" cy="1596887"/>
                  <wp:effectExtent l="0" t="0" r="0" b="3810"/>
                  <wp:docPr id="2" name="Gráfico 2" title="Distribució dels ingressos farmacèutics">
                    <a:extLst xmlns:a="http://schemas.openxmlformats.org/drawingml/2006/main">
                      <a:ext uri="{FF2B5EF4-FFF2-40B4-BE49-F238E27FC236}">
                        <a16:creationId xmlns:a16="http://schemas.microsoft.com/office/drawing/2014/main" id="{B80C3FEE-CE98-D34C-AB3A-25970E41CE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36789D" w:rsidRPr="0036789D" w:rsidTr="0036789D">
        <w:trPr>
          <w:trHeight w:val="242"/>
        </w:trPr>
        <w:tc>
          <w:tcPr>
            <w:tcW w:w="4673" w:type="dxa"/>
          </w:tcPr>
          <w:p w:rsidR="0036789D" w:rsidRPr="0036789D" w:rsidRDefault="0036789D" w:rsidP="0036789D">
            <w:pPr>
              <w:pStyle w:val="Textonotapie"/>
              <w:rPr>
                <w:rFonts w:ascii="Arial" w:hAnsi="Arial" w:cs="Arial"/>
                <w:color w:val="002060"/>
                <w:sz w:val="14"/>
                <w:szCs w:val="14"/>
              </w:rPr>
            </w:pPr>
            <w:r w:rsidRPr="0036789D">
              <w:rPr>
                <w:rFonts w:ascii="Arial" w:hAnsi="Arial" w:cs="Arial"/>
                <w:color w:val="002060"/>
                <w:sz w:val="14"/>
                <w:szCs w:val="14"/>
              </w:rPr>
              <w:t>Font:</w:t>
            </w:r>
            <w:r>
              <w:rPr>
                <w:rFonts w:ascii="Arial" w:hAnsi="Arial" w:cs="Arial"/>
                <w:color w:val="002060"/>
                <w:sz w:val="14"/>
                <w:szCs w:val="14"/>
              </w:rPr>
              <w:t xml:space="preserve">  </w:t>
            </w:r>
            <w:r>
              <w:rPr>
                <w:rFonts w:ascii="Arial" w:hAnsi="Arial" w:cs="Arial"/>
                <w:color w:val="002060"/>
                <w:sz w:val="16"/>
                <w:szCs w:val="16"/>
              </w:rPr>
              <w:t>Representació gràfica</w:t>
            </w:r>
            <w:r w:rsidRPr="0000752D">
              <w:rPr>
                <w:rFonts w:ascii="Arial" w:hAnsi="Arial" w:cs="Arial"/>
                <w:color w:val="002060"/>
                <w:sz w:val="16"/>
                <w:szCs w:val="16"/>
              </w:rPr>
              <w:t xml:space="preserve"> obtingu</w:t>
            </w:r>
            <w:r>
              <w:rPr>
                <w:rFonts w:ascii="Arial" w:hAnsi="Arial" w:cs="Arial"/>
                <w:color w:val="002060"/>
                <w:sz w:val="16"/>
                <w:szCs w:val="16"/>
              </w:rPr>
              <w:t>da</w:t>
            </w:r>
            <w:r w:rsidRPr="0000752D">
              <w:rPr>
                <w:rFonts w:ascii="Arial" w:hAnsi="Arial" w:cs="Arial"/>
                <w:color w:val="002060"/>
                <w:sz w:val="16"/>
                <w:szCs w:val="16"/>
              </w:rPr>
              <w:t xml:space="preserve"> de Statista </w:t>
            </w:r>
            <w:hyperlink r:id="rId31" w:history="1">
              <w:r w:rsidRPr="002A401E">
                <w:rPr>
                  <w:rStyle w:val="Hipervnculo"/>
                  <w:rFonts w:ascii="Arial" w:hAnsi="Arial" w:cs="Arial"/>
                  <w:sz w:val="16"/>
                  <w:szCs w:val="16"/>
                </w:rPr>
                <w:t>https://es.statista.com/estadisticas/635153/ingresos-mundiales-del-sector-farmaceutico/</w:t>
              </w:r>
            </w:hyperlink>
          </w:p>
        </w:tc>
        <w:tc>
          <w:tcPr>
            <w:tcW w:w="4644" w:type="dxa"/>
          </w:tcPr>
          <w:p w:rsidR="0036789D" w:rsidRPr="0036789D" w:rsidRDefault="0036789D" w:rsidP="002D48FA">
            <w:pPr>
              <w:jc w:val="both"/>
              <w:rPr>
                <w:rFonts w:ascii="Arial" w:hAnsi="Arial" w:cs="Arial"/>
                <w:color w:val="002060"/>
                <w:sz w:val="14"/>
                <w:szCs w:val="14"/>
              </w:rPr>
            </w:pPr>
            <w:r w:rsidRPr="0036789D">
              <w:rPr>
                <w:rFonts w:ascii="Arial" w:hAnsi="Arial" w:cs="Arial"/>
                <w:color w:val="002060"/>
                <w:sz w:val="14"/>
                <w:szCs w:val="14"/>
              </w:rPr>
              <w:t xml:space="preserve">Font: Elaboració pròpia segons càlculs inclosos </w:t>
            </w:r>
            <w:r w:rsidR="002A401E">
              <w:rPr>
                <w:rFonts w:ascii="Arial" w:hAnsi="Arial" w:cs="Arial"/>
                <w:color w:val="002060"/>
                <w:sz w:val="14"/>
                <w:szCs w:val="14"/>
              </w:rPr>
              <w:t>al</w:t>
            </w:r>
            <w:r w:rsidR="00B9202E">
              <w:rPr>
                <w:rFonts w:ascii="Arial" w:hAnsi="Arial" w:cs="Arial"/>
                <w:color w:val="002060"/>
                <w:sz w:val="14"/>
                <w:szCs w:val="14"/>
              </w:rPr>
              <w:t xml:space="preserve"> annex 3.1</w:t>
            </w:r>
          </w:p>
        </w:tc>
      </w:tr>
    </w:tbl>
    <w:p w:rsidR="008B34AF" w:rsidRDefault="008B34AF" w:rsidP="002D48FA">
      <w:pPr>
        <w:jc w:val="both"/>
        <w:rPr>
          <w:rFonts w:ascii="Arial" w:hAnsi="Arial" w:cs="Arial"/>
          <w:b/>
          <w:color w:val="000361"/>
          <w:sz w:val="20"/>
          <w:szCs w:val="20"/>
        </w:rPr>
      </w:pPr>
    </w:p>
    <w:p w:rsidR="00E01C26" w:rsidRDefault="00BB113A" w:rsidP="002D48FA">
      <w:pPr>
        <w:jc w:val="both"/>
        <w:rPr>
          <w:rFonts w:ascii="Arial" w:hAnsi="Arial" w:cs="Arial"/>
          <w:color w:val="000361"/>
          <w:sz w:val="20"/>
          <w:szCs w:val="20"/>
        </w:rPr>
      </w:pPr>
      <w:r w:rsidRPr="00EE3D45">
        <w:rPr>
          <w:rFonts w:ascii="Arial" w:hAnsi="Arial" w:cs="Arial"/>
          <w:color w:val="000361"/>
          <w:sz w:val="20"/>
          <w:szCs w:val="20"/>
        </w:rPr>
        <w:t xml:space="preserve">Dels 1250,4 mils de milions de dòlars que la indústria va ingressar el 2019, només 33,8 mils de milions de dòlars corresponen al mercat de Salut Animal. </w:t>
      </w:r>
      <w:r w:rsidR="00420CAB">
        <w:rPr>
          <w:rFonts w:ascii="Arial" w:hAnsi="Arial" w:cs="Arial"/>
          <w:color w:val="000361"/>
          <w:sz w:val="20"/>
          <w:szCs w:val="20"/>
        </w:rPr>
        <w:t>Gràficament e</w:t>
      </w:r>
      <w:r w:rsidR="003A7D70">
        <w:rPr>
          <w:rFonts w:ascii="Arial" w:hAnsi="Arial" w:cs="Arial"/>
          <w:color w:val="000361"/>
          <w:sz w:val="20"/>
          <w:szCs w:val="20"/>
        </w:rPr>
        <w:t>s pot</w:t>
      </w:r>
      <w:r w:rsidRPr="00EE3D45">
        <w:rPr>
          <w:rFonts w:ascii="Arial" w:hAnsi="Arial" w:cs="Arial"/>
          <w:color w:val="000361"/>
          <w:sz w:val="20"/>
          <w:szCs w:val="20"/>
        </w:rPr>
        <w:t xml:space="preserve"> comprovar</w:t>
      </w:r>
      <w:r w:rsidR="00D46767" w:rsidRPr="00EE3D45">
        <w:rPr>
          <w:rFonts w:ascii="Arial" w:hAnsi="Arial" w:cs="Arial"/>
          <w:color w:val="000361"/>
          <w:sz w:val="20"/>
          <w:szCs w:val="20"/>
        </w:rPr>
        <w:t xml:space="preserve"> la dimensió d’un respecte l’altre</w:t>
      </w:r>
      <w:r w:rsidR="00420CAB">
        <w:rPr>
          <w:rFonts w:ascii="Arial" w:hAnsi="Arial" w:cs="Arial"/>
          <w:color w:val="000361"/>
          <w:sz w:val="20"/>
          <w:szCs w:val="20"/>
        </w:rPr>
        <w:t xml:space="preserve"> </w:t>
      </w:r>
      <w:r w:rsidR="003A7D70">
        <w:rPr>
          <w:rFonts w:ascii="Arial" w:hAnsi="Arial" w:cs="Arial"/>
          <w:color w:val="000361"/>
          <w:sz w:val="20"/>
          <w:szCs w:val="20"/>
        </w:rPr>
        <w:t>que</w:t>
      </w:r>
      <w:r w:rsidR="00EE3D45" w:rsidRPr="00EE3D45">
        <w:rPr>
          <w:rFonts w:ascii="Arial" w:hAnsi="Arial" w:cs="Arial"/>
          <w:color w:val="000361"/>
          <w:sz w:val="20"/>
          <w:szCs w:val="20"/>
        </w:rPr>
        <w:t xml:space="preserve"> només representa un 3% dels ingressos totals de la indústria.</w:t>
      </w:r>
      <w:r w:rsidR="00343DB0">
        <w:rPr>
          <w:rFonts w:ascii="Arial" w:hAnsi="Arial" w:cs="Arial"/>
          <w:color w:val="000361"/>
          <w:sz w:val="20"/>
          <w:szCs w:val="20"/>
        </w:rPr>
        <w:t xml:space="preserve"> D’això se’n desprèn que l’anàlisi del sector farmacèutic en Salut Animal no </w:t>
      </w:r>
      <w:r w:rsidR="00420CAB">
        <w:rPr>
          <w:rFonts w:ascii="Arial" w:hAnsi="Arial" w:cs="Arial"/>
          <w:color w:val="000361"/>
          <w:sz w:val="20"/>
          <w:szCs w:val="20"/>
        </w:rPr>
        <w:t>té sentit des</w:t>
      </w:r>
      <w:r w:rsidR="00343DB0">
        <w:rPr>
          <w:rFonts w:ascii="Arial" w:hAnsi="Arial" w:cs="Arial"/>
          <w:color w:val="000361"/>
          <w:sz w:val="20"/>
          <w:szCs w:val="20"/>
        </w:rPr>
        <w:t xml:space="preserve"> d’una perspectiva de la indústria </w:t>
      </w:r>
      <w:r w:rsidR="006E5C3E">
        <w:rPr>
          <w:rFonts w:ascii="Arial" w:hAnsi="Arial" w:cs="Arial"/>
          <w:color w:val="000361"/>
          <w:sz w:val="20"/>
          <w:szCs w:val="20"/>
        </w:rPr>
        <w:t>farmacèutica</w:t>
      </w:r>
      <w:r w:rsidR="00343DB0">
        <w:rPr>
          <w:rFonts w:ascii="Arial" w:hAnsi="Arial" w:cs="Arial"/>
          <w:color w:val="000361"/>
          <w:sz w:val="20"/>
          <w:szCs w:val="20"/>
        </w:rPr>
        <w:t xml:space="preserve"> en</w:t>
      </w:r>
      <w:r w:rsidR="003A7D70">
        <w:rPr>
          <w:rFonts w:ascii="Arial" w:hAnsi="Arial" w:cs="Arial"/>
          <w:color w:val="000361"/>
          <w:sz w:val="20"/>
          <w:szCs w:val="20"/>
        </w:rPr>
        <w:t xml:space="preserve"> termes</w:t>
      </w:r>
      <w:r w:rsidR="00343DB0">
        <w:rPr>
          <w:rFonts w:ascii="Arial" w:hAnsi="Arial" w:cs="Arial"/>
          <w:color w:val="000361"/>
          <w:sz w:val="20"/>
          <w:szCs w:val="20"/>
        </w:rPr>
        <w:t xml:space="preserve"> general</w:t>
      </w:r>
      <w:r w:rsidR="003A7D70">
        <w:rPr>
          <w:rFonts w:ascii="Arial" w:hAnsi="Arial" w:cs="Arial"/>
          <w:color w:val="000361"/>
          <w:sz w:val="20"/>
          <w:szCs w:val="20"/>
        </w:rPr>
        <w:t>s</w:t>
      </w:r>
      <w:r w:rsidR="00343DB0">
        <w:rPr>
          <w:rFonts w:ascii="Arial" w:hAnsi="Arial" w:cs="Arial"/>
          <w:color w:val="000361"/>
          <w:sz w:val="20"/>
          <w:szCs w:val="20"/>
        </w:rPr>
        <w:t xml:space="preserve"> perquè aquest</w:t>
      </w:r>
      <w:r w:rsidR="003A7D70">
        <w:rPr>
          <w:rFonts w:ascii="Arial" w:hAnsi="Arial" w:cs="Arial"/>
          <w:color w:val="000361"/>
          <w:sz w:val="20"/>
          <w:szCs w:val="20"/>
        </w:rPr>
        <w:t>a</w:t>
      </w:r>
      <w:r w:rsidR="00343DB0">
        <w:rPr>
          <w:rFonts w:ascii="Arial" w:hAnsi="Arial" w:cs="Arial"/>
          <w:color w:val="000361"/>
          <w:sz w:val="20"/>
          <w:szCs w:val="20"/>
        </w:rPr>
        <w:t xml:space="preserve"> té un pes irrellevant.</w:t>
      </w:r>
    </w:p>
    <w:p w:rsidR="00343DB0" w:rsidRDefault="00343DB0" w:rsidP="002D48FA">
      <w:pPr>
        <w:jc w:val="both"/>
        <w:rPr>
          <w:rFonts w:ascii="Arial" w:hAnsi="Arial" w:cs="Arial"/>
          <w:color w:val="000361"/>
          <w:sz w:val="20"/>
          <w:szCs w:val="20"/>
        </w:rPr>
      </w:pPr>
    </w:p>
    <w:p w:rsidR="00343DB0" w:rsidRDefault="00343DB0" w:rsidP="002D48FA">
      <w:pPr>
        <w:jc w:val="both"/>
        <w:rPr>
          <w:rFonts w:ascii="Arial" w:hAnsi="Arial" w:cs="Arial"/>
          <w:color w:val="000361"/>
          <w:sz w:val="20"/>
          <w:szCs w:val="20"/>
        </w:rPr>
      </w:pPr>
      <w:r>
        <w:rPr>
          <w:rFonts w:ascii="Arial" w:hAnsi="Arial" w:cs="Arial"/>
          <w:color w:val="000361"/>
          <w:sz w:val="20"/>
          <w:szCs w:val="20"/>
        </w:rPr>
        <w:t xml:space="preserve">Malgrat això, la indústria farmacèutica en el seu conjunt comparteix una mateixa tecnologia i capacitats per a la investigació i innovació, </w:t>
      </w:r>
      <w:r w:rsidR="00DA714D">
        <w:rPr>
          <w:rFonts w:ascii="Arial" w:hAnsi="Arial" w:cs="Arial"/>
          <w:color w:val="000361"/>
          <w:sz w:val="20"/>
          <w:szCs w:val="20"/>
        </w:rPr>
        <w:t>motiu pel qual existeixen grans multinacionals que diversifi</w:t>
      </w:r>
      <w:r w:rsidR="003A7D70">
        <w:rPr>
          <w:rFonts w:ascii="Arial" w:hAnsi="Arial" w:cs="Arial"/>
          <w:color w:val="000361"/>
          <w:sz w:val="20"/>
          <w:szCs w:val="20"/>
        </w:rPr>
        <w:t>quen</w:t>
      </w:r>
      <w:r w:rsidR="00DA714D">
        <w:rPr>
          <w:rFonts w:ascii="Arial" w:hAnsi="Arial" w:cs="Arial"/>
          <w:color w:val="000361"/>
          <w:sz w:val="20"/>
          <w:szCs w:val="20"/>
        </w:rPr>
        <w:t xml:space="preserve"> el negoci </w:t>
      </w:r>
      <w:r w:rsidR="003A7D70">
        <w:rPr>
          <w:rFonts w:ascii="Arial" w:hAnsi="Arial" w:cs="Arial"/>
          <w:color w:val="000361"/>
          <w:sz w:val="20"/>
          <w:szCs w:val="20"/>
        </w:rPr>
        <w:t>a través</w:t>
      </w:r>
      <w:r w:rsidR="00DA714D">
        <w:rPr>
          <w:rFonts w:ascii="Arial" w:hAnsi="Arial" w:cs="Arial"/>
          <w:color w:val="000361"/>
          <w:sz w:val="20"/>
          <w:szCs w:val="20"/>
        </w:rPr>
        <w:t xml:space="preserve"> de conglomerats empresarials orientad</w:t>
      </w:r>
      <w:r w:rsidR="003A7D70">
        <w:rPr>
          <w:rFonts w:ascii="Arial" w:hAnsi="Arial" w:cs="Arial"/>
          <w:color w:val="000361"/>
          <w:sz w:val="20"/>
          <w:szCs w:val="20"/>
        </w:rPr>
        <w:t>a</w:t>
      </w:r>
      <w:r w:rsidR="00DA714D">
        <w:rPr>
          <w:rFonts w:ascii="Arial" w:hAnsi="Arial" w:cs="Arial"/>
          <w:color w:val="000361"/>
          <w:sz w:val="20"/>
          <w:szCs w:val="20"/>
        </w:rPr>
        <w:t xml:space="preserve"> cadascuna d’elles a diferents mercats (API’s, genèrics, </w:t>
      </w:r>
      <w:r w:rsidR="003A7D70">
        <w:rPr>
          <w:rFonts w:ascii="Arial" w:hAnsi="Arial" w:cs="Arial"/>
          <w:color w:val="000361"/>
          <w:sz w:val="20"/>
          <w:szCs w:val="20"/>
        </w:rPr>
        <w:t>S</w:t>
      </w:r>
      <w:r w:rsidR="00DA714D">
        <w:rPr>
          <w:rFonts w:ascii="Arial" w:hAnsi="Arial" w:cs="Arial"/>
          <w:color w:val="000361"/>
          <w:sz w:val="20"/>
          <w:szCs w:val="20"/>
        </w:rPr>
        <w:t xml:space="preserve">alut </w:t>
      </w:r>
      <w:r w:rsidR="003A7D70">
        <w:rPr>
          <w:rFonts w:ascii="Arial" w:hAnsi="Arial" w:cs="Arial"/>
          <w:color w:val="000361"/>
          <w:sz w:val="20"/>
          <w:szCs w:val="20"/>
        </w:rPr>
        <w:t>A</w:t>
      </w:r>
      <w:r w:rsidR="00DA714D">
        <w:rPr>
          <w:rFonts w:ascii="Arial" w:hAnsi="Arial" w:cs="Arial"/>
          <w:color w:val="000361"/>
          <w:sz w:val="20"/>
          <w:szCs w:val="20"/>
        </w:rPr>
        <w:t>nimal,...).</w:t>
      </w:r>
      <w:r w:rsidR="00DD67A6">
        <w:rPr>
          <w:rFonts w:ascii="Arial" w:hAnsi="Arial" w:cs="Arial"/>
          <w:color w:val="000361"/>
          <w:sz w:val="20"/>
          <w:szCs w:val="20"/>
        </w:rPr>
        <w:t xml:space="preserve"> </w:t>
      </w:r>
    </w:p>
    <w:p w:rsidR="00DA714D" w:rsidRDefault="00DA714D" w:rsidP="002D48FA">
      <w:pPr>
        <w:jc w:val="both"/>
        <w:rPr>
          <w:rFonts w:ascii="Arial" w:hAnsi="Arial" w:cs="Arial"/>
          <w:color w:val="000361"/>
          <w:sz w:val="20"/>
          <w:szCs w:val="20"/>
        </w:rPr>
      </w:pPr>
    </w:p>
    <w:p w:rsidR="00C14651" w:rsidRDefault="00DA714D" w:rsidP="00DD67A6">
      <w:pPr>
        <w:jc w:val="both"/>
        <w:rPr>
          <w:rFonts w:ascii="Arial" w:hAnsi="Arial" w:cs="Arial"/>
          <w:color w:val="000361"/>
          <w:sz w:val="20"/>
          <w:szCs w:val="20"/>
        </w:rPr>
      </w:pPr>
      <w:r>
        <w:rPr>
          <w:rFonts w:ascii="Arial" w:hAnsi="Arial" w:cs="Arial"/>
          <w:color w:val="000361"/>
          <w:sz w:val="20"/>
          <w:szCs w:val="20"/>
        </w:rPr>
        <w:t>La creació de nous productes per la prevenció, cura o tractament de malalties i posteriorment la seva explotació econòmica per mitjà de la protecció que ofereixen les patents, esdevé un avantatge competitiu molt preuat</w:t>
      </w:r>
      <w:r w:rsidR="009A0474">
        <w:rPr>
          <w:rFonts w:ascii="Arial" w:hAnsi="Arial" w:cs="Arial"/>
          <w:color w:val="000361"/>
          <w:sz w:val="20"/>
          <w:szCs w:val="20"/>
        </w:rPr>
        <w:t xml:space="preserve"> però no exempt de dificultats</w:t>
      </w:r>
      <w:r w:rsidR="002F053A">
        <w:rPr>
          <w:rFonts w:ascii="Arial" w:hAnsi="Arial" w:cs="Arial"/>
          <w:color w:val="000361"/>
          <w:sz w:val="20"/>
          <w:szCs w:val="20"/>
        </w:rPr>
        <w:t xml:space="preserve"> i riscos</w:t>
      </w:r>
      <w:r w:rsidR="009A0474">
        <w:rPr>
          <w:rFonts w:ascii="Arial" w:hAnsi="Arial" w:cs="Arial"/>
          <w:color w:val="000361"/>
          <w:sz w:val="20"/>
          <w:szCs w:val="20"/>
        </w:rPr>
        <w:t xml:space="preserve"> per la gran quantitat de lleis i regulacions que tracten les patents, proves, seguretat, eficàcia, comercialització</w:t>
      </w:r>
      <w:r w:rsidR="002F053A">
        <w:rPr>
          <w:rFonts w:ascii="Arial" w:hAnsi="Arial" w:cs="Arial"/>
          <w:color w:val="000361"/>
          <w:sz w:val="20"/>
          <w:szCs w:val="20"/>
        </w:rPr>
        <w:t xml:space="preserve"> i els elevats costos que això representa. Amb la voluntat de minimitzar riscos </w:t>
      </w:r>
      <w:r w:rsidR="00420CAB">
        <w:rPr>
          <w:rFonts w:ascii="Arial" w:hAnsi="Arial" w:cs="Arial"/>
          <w:color w:val="000361"/>
          <w:sz w:val="20"/>
          <w:szCs w:val="20"/>
        </w:rPr>
        <w:t>sovint</w:t>
      </w:r>
      <w:r w:rsidR="002F053A">
        <w:rPr>
          <w:rFonts w:ascii="Arial" w:hAnsi="Arial" w:cs="Arial"/>
          <w:color w:val="000361"/>
          <w:sz w:val="20"/>
          <w:szCs w:val="20"/>
        </w:rPr>
        <w:t xml:space="preserve"> s’estableixen acords entre empreses per la investigació de nous fàrmacs</w:t>
      </w:r>
      <w:r w:rsidR="00C14651">
        <w:rPr>
          <w:rFonts w:ascii="Arial" w:hAnsi="Arial" w:cs="Arial"/>
          <w:color w:val="000361"/>
          <w:sz w:val="20"/>
          <w:szCs w:val="20"/>
        </w:rPr>
        <w:t xml:space="preserve">. </w:t>
      </w:r>
    </w:p>
    <w:p w:rsidR="00C14651" w:rsidRDefault="00C14651" w:rsidP="00DD67A6">
      <w:pPr>
        <w:jc w:val="both"/>
        <w:rPr>
          <w:rFonts w:ascii="Arial" w:hAnsi="Arial" w:cs="Arial"/>
          <w:color w:val="000361"/>
          <w:sz w:val="20"/>
          <w:szCs w:val="20"/>
        </w:rPr>
      </w:pPr>
    </w:p>
    <w:p w:rsidR="00DD67A6" w:rsidRPr="0040185D" w:rsidRDefault="00C14651" w:rsidP="00DD67A6">
      <w:pPr>
        <w:jc w:val="both"/>
        <w:rPr>
          <w:rFonts w:ascii="Arial" w:hAnsi="Arial" w:cs="Arial"/>
          <w:color w:val="000361"/>
          <w:sz w:val="20"/>
          <w:szCs w:val="20"/>
        </w:rPr>
      </w:pPr>
      <w:r>
        <w:rPr>
          <w:rFonts w:ascii="Arial" w:hAnsi="Arial" w:cs="Arial"/>
          <w:color w:val="000361"/>
          <w:sz w:val="20"/>
          <w:szCs w:val="20"/>
        </w:rPr>
        <w:t>A la indústria farmacèutica</w:t>
      </w:r>
      <w:r w:rsidR="002F053A">
        <w:rPr>
          <w:rFonts w:ascii="Arial" w:hAnsi="Arial" w:cs="Arial"/>
          <w:color w:val="000361"/>
          <w:sz w:val="20"/>
          <w:szCs w:val="20"/>
        </w:rPr>
        <w:t xml:space="preserve"> es </w:t>
      </w:r>
      <w:r>
        <w:rPr>
          <w:rFonts w:ascii="Arial" w:hAnsi="Arial" w:cs="Arial"/>
          <w:color w:val="000361"/>
          <w:sz w:val="20"/>
          <w:szCs w:val="20"/>
        </w:rPr>
        <w:t>poden observar</w:t>
      </w:r>
      <w:r w:rsidR="002F053A">
        <w:rPr>
          <w:rFonts w:ascii="Arial" w:hAnsi="Arial" w:cs="Arial"/>
          <w:color w:val="000361"/>
          <w:sz w:val="20"/>
          <w:szCs w:val="20"/>
        </w:rPr>
        <w:t xml:space="preserve"> processos de fusió</w:t>
      </w:r>
      <w:r>
        <w:rPr>
          <w:rFonts w:ascii="Arial" w:hAnsi="Arial" w:cs="Arial"/>
          <w:color w:val="000361"/>
          <w:sz w:val="20"/>
          <w:szCs w:val="20"/>
        </w:rPr>
        <w:t xml:space="preserve"> i compres</w:t>
      </w:r>
      <w:r w:rsidR="002F053A">
        <w:rPr>
          <w:rFonts w:ascii="Arial" w:hAnsi="Arial" w:cs="Arial"/>
          <w:color w:val="000361"/>
          <w:sz w:val="20"/>
          <w:szCs w:val="20"/>
        </w:rPr>
        <w:t xml:space="preserve"> </w:t>
      </w:r>
      <w:r>
        <w:rPr>
          <w:rFonts w:ascii="Arial" w:hAnsi="Arial" w:cs="Arial"/>
          <w:color w:val="000361"/>
          <w:sz w:val="20"/>
          <w:szCs w:val="20"/>
        </w:rPr>
        <w:t>d’</w:t>
      </w:r>
      <w:r w:rsidR="002F053A">
        <w:rPr>
          <w:rFonts w:ascii="Arial" w:hAnsi="Arial" w:cs="Arial"/>
          <w:color w:val="000361"/>
          <w:sz w:val="20"/>
          <w:szCs w:val="20"/>
        </w:rPr>
        <w:t>empreses,</w:t>
      </w:r>
      <w:r>
        <w:rPr>
          <w:rFonts w:ascii="Arial" w:hAnsi="Arial" w:cs="Arial"/>
          <w:color w:val="000361"/>
          <w:sz w:val="20"/>
          <w:szCs w:val="20"/>
        </w:rPr>
        <w:t xml:space="preserve"> i</w:t>
      </w:r>
      <w:r w:rsidR="002F053A">
        <w:rPr>
          <w:rFonts w:ascii="Arial" w:hAnsi="Arial" w:cs="Arial"/>
          <w:color w:val="000361"/>
          <w:sz w:val="20"/>
          <w:szCs w:val="20"/>
        </w:rPr>
        <w:t xml:space="preserve"> </w:t>
      </w:r>
      <w:r>
        <w:rPr>
          <w:rFonts w:ascii="Arial" w:hAnsi="Arial" w:cs="Arial"/>
          <w:color w:val="000361"/>
          <w:sz w:val="20"/>
          <w:szCs w:val="20"/>
        </w:rPr>
        <w:t>l’adquisició de</w:t>
      </w:r>
      <w:r w:rsidR="002F053A">
        <w:rPr>
          <w:rFonts w:ascii="Arial" w:hAnsi="Arial" w:cs="Arial"/>
          <w:color w:val="000361"/>
          <w:sz w:val="20"/>
          <w:szCs w:val="20"/>
        </w:rPr>
        <w:t xml:space="preserve"> patents creades per altres.</w:t>
      </w:r>
      <w:r w:rsidR="00DD67A6">
        <w:rPr>
          <w:rFonts w:ascii="Arial" w:hAnsi="Arial" w:cs="Arial"/>
          <w:color w:val="000361"/>
          <w:sz w:val="20"/>
          <w:szCs w:val="20"/>
        </w:rPr>
        <w:t xml:space="preserve"> El mercat està seguint una tendència de concentració, amb menys empreses i cada cop més grans.</w:t>
      </w:r>
    </w:p>
    <w:p w:rsidR="0040185D" w:rsidRDefault="0040185D" w:rsidP="002D48FA">
      <w:pPr>
        <w:jc w:val="both"/>
        <w:rPr>
          <w:rFonts w:ascii="Arial" w:hAnsi="Arial" w:cs="Arial"/>
          <w:b/>
          <w:color w:val="000361"/>
          <w:sz w:val="20"/>
          <w:szCs w:val="20"/>
        </w:rPr>
      </w:pPr>
    </w:p>
    <w:p w:rsidR="00EE3D45" w:rsidRDefault="00DD67A6" w:rsidP="002D48FA">
      <w:pPr>
        <w:jc w:val="both"/>
        <w:rPr>
          <w:rFonts w:ascii="Arial" w:hAnsi="Arial" w:cs="Arial"/>
          <w:b/>
          <w:color w:val="000361"/>
          <w:sz w:val="20"/>
          <w:szCs w:val="20"/>
        </w:rPr>
      </w:pPr>
      <w:r>
        <w:rPr>
          <w:rFonts w:ascii="Arial" w:hAnsi="Arial" w:cs="Arial"/>
          <w:color w:val="000361"/>
          <w:sz w:val="20"/>
          <w:szCs w:val="20"/>
        </w:rPr>
        <w:t>El</w:t>
      </w:r>
      <w:r w:rsidR="0040185D">
        <w:rPr>
          <w:rFonts w:ascii="Arial" w:hAnsi="Arial" w:cs="Arial"/>
          <w:color w:val="000361"/>
          <w:sz w:val="20"/>
          <w:szCs w:val="20"/>
        </w:rPr>
        <w:t xml:space="preserve"> coneixement i experiència </w:t>
      </w:r>
      <w:r>
        <w:rPr>
          <w:rFonts w:ascii="Arial" w:hAnsi="Arial" w:cs="Arial"/>
          <w:color w:val="000361"/>
          <w:sz w:val="20"/>
          <w:szCs w:val="20"/>
        </w:rPr>
        <w:t>de les empreses de llarga tradició en aquesta indústria</w:t>
      </w:r>
      <w:r w:rsidR="0040185D">
        <w:rPr>
          <w:rFonts w:ascii="Arial" w:hAnsi="Arial" w:cs="Arial"/>
          <w:color w:val="000361"/>
          <w:sz w:val="20"/>
          <w:szCs w:val="20"/>
        </w:rPr>
        <w:t xml:space="preserve">, la tecnologia emprada i </w:t>
      </w:r>
      <w:r>
        <w:rPr>
          <w:rFonts w:ascii="Arial" w:hAnsi="Arial" w:cs="Arial"/>
          <w:color w:val="000361"/>
          <w:sz w:val="20"/>
          <w:szCs w:val="20"/>
        </w:rPr>
        <w:t>les necessitats de grans capitals</w:t>
      </w:r>
      <w:r w:rsidR="0040185D">
        <w:rPr>
          <w:rFonts w:ascii="Arial" w:hAnsi="Arial" w:cs="Arial"/>
          <w:color w:val="000361"/>
          <w:sz w:val="20"/>
          <w:szCs w:val="20"/>
        </w:rPr>
        <w:t xml:space="preserve"> </w:t>
      </w:r>
      <w:r>
        <w:rPr>
          <w:rFonts w:ascii="Arial" w:hAnsi="Arial" w:cs="Arial"/>
          <w:color w:val="000361"/>
          <w:sz w:val="20"/>
          <w:szCs w:val="20"/>
        </w:rPr>
        <w:t>suposen</w:t>
      </w:r>
      <w:r w:rsidR="0040185D">
        <w:rPr>
          <w:rFonts w:ascii="Arial" w:hAnsi="Arial" w:cs="Arial"/>
          <w:color w:val="000361"/>
          <w:sz w:val="20"/>
          <w:szCs w:val="20"/>
        </w:rPr>
        <w:t xml:space="preserve"> una barrera d’entrada important per a l’aparició</w:t>
      </w:r>
      <w:r>
        <w:rPr>
          <w:rFonts w:ascii="Arial" w:hAnsi="Arial" w:cs="Arial"/>
          <w:color w:val="000361"/>
          <w:sz w:val="20"/>
          <w:szCs w:val="20"/>
        </w:rPr>
        <w:t xml:space="preserve"> de nous competidors. </w:t>
      </w:r>
    </w:p>
    <w:p w:rsidR="008B34AF" w:rsidRPr="004E038A" w:rsidRDefault="008B34AF" w:rsidP="002D48FA">
      <w:pPr>
        <w:jc w:val="both"/>
        <w:rPr>
          <w:rFonts w:ascii="Arial" w:hAnsi="Arial" w:cs="Arial"/>
          <w:b/>
          <w:color w:val="000361"/>
          <w:sz w:val="20"/>
          <w:szCs w:val="20"/>
        </w:rPr>
      </w:pPr>
    </w:p>
    <w:p w:rsidR="00AB387A" w:rsidRPr="00775233" w:rsidRDefault="00AB387A" w:rsidP="002D48FA">
      <w:pPr>
        <w:jc w:val="both"/>
        <w:rPr>
          <w:rFonts w:ascii="Arial" w:hAnsi="Arial" w:cs="Arial"/>
          <w:b/>
          <w:color w:val="000361"/>
        </w:rPr>
      </w:pPr>
      <w:r w:rsidRPr="00775233">
        <w:rPr>
          <w:rFonts w:ascii="Arial" w:hAnsi="Arial" w:cs="Arial"/>
          <w:b/>
          <w:color w:val="000361"/>
        </w:rPr>
        <w:t>3.</w:t>
      </w:r>
      <w:r w:rsidR="00775233" w:rsidRPr="00775233">
        <w:rPr>
          <w:rFonts w:ascii="Arial" w:hAnsi="Arial" w:cs="Arial"/>
          <w:b/>
          <w:color w:val="000361"/>
        </w:rPr>
        <w:t>3</w:t>
      </w:r>
      <w:r w:rsidRPr="00775233">
        <w:rPr>
          <w:rFonts w:ascii="Arial" w:hAnsi="Arial" w:cs="Arial"/>
          <w:b/>
          <w:color w:val="000361"/>
        </w:rPr>
        <w:t>. Anàlisi del sector farmacèutic en Salut Animal</w:t>
      </w:r>
    </w:p>
    <w:p w:rsidR="002F053A" w:rsidRDefault="002F053A" w:rsidP="002D48FA">
      <w:pPr>
        <w:jc w:val="both"/>
        <w:rPr>
          <w:rFonts w:ascii="Arial" w:hAnsi="Arial" w:cs="Arial"/>
          <w:b/>
          <w:color w:val="000361"/>
        </w:rPr>
      </w:pPr>
    </w:p>
    <w:p w:rsidR="003D222A" w:rsidRDefault="00F3207E" w:rsidP="002D48FA">
      <w:pPr>
        <w:jc w:val="both"/>
        <w:rPr>
          <w:rFonts w:ascii="Arial" w:hAnsi="Arial" w:cs="Arial"/>
          <w:color w:val="000361"/>
          <w:sz w:val="20"/>
          <w:szCs w:val="20"/>
        </w:rPr>
      </w:pPr>
      <w:r>
        <w:rPr>
          <w:rFonts w:ascii="Arial" w:hAnsi="Arial" w:cs="Arial"/>
          <w:color w:val="000361"/>
          <w:sz w:val="20"/>
          <w:szCs w:val="20"/>
        </w:rPr>
        <w:t>El sector farmacèutic en Salut Animal s’analitzarà en base al comportament econòmic i financer de 5 empreses</w:t>
      </w:r>
      <w:r w:rsidR="003D222A">
        <w:rPr>
          <w:rFonts w:ascii="Arial" w:hAnsi="Arial" w:cs="Arial"/>
          <w:color w:val="000361"/>
          <w:sz w:val="20"/>
          <w:szCs w:val="20"/>
        </w:rPr>
        <w:t xml:space="preserve"> competidores de H</w:t>
      </w:r>
      <w:r w:rsidR="006F3AEA">
        <w:rPr>
          <w:rFonts w:ascii="Arial" w:hAnsi="Arial" w:cs="Arial"/>
          <w:color w:val="000361"/>
          <w:sz w:val="20"/>
          <w:szCs w:val="20"/>
        </w:rPr>
        <w:t>ipra</w:t>
      </w:r>
      <w:r>
        <w:rPr>
          <w:rFonts w:ascii="Arial" w:hAnsi="Arial" w:cs="Arial"/>
          <w:color w:val="000361"/>
          <w:sz w:val="20"/>
          <w:szCs w:val="20"/>
        </w:rPr>
        <w:t xml:space="preserve"> que es troben entre </w:t>
      </w:r>
      <w:r w:rsidR="003D222A">
        <w:rPr>
          <w:rFonts w:ascii="Arial" w:hAnsi="Arial" w:cs="Arial"/>
          <w:color w:val="000361"/>
          <w:sz w:val="20"/>
          <w:szCs w:val="20"/>
        </w:rPr>
        <w:t>un llistat de les</w:t>
      </w:r>
      <w:r>
        <w:rPr>
          <w:rFonts w:ascii="Arial" w:hAnsi="Arial" w:cs="Arial"/>
          <w:color w:val="000361"/>
          <w:sz w:val="20"/>
          <w:szCs w:val="20"/>
        </w:rPr>
        <w:t xml:space="preserve"> 20 que van facturar més l’any 2019</w:t>
      </w:r>
      <w:r w:rsidR="00FA6320">
        <w:rPr>
          <w:rFonts w:ascii="Arial" w:hAnsi="Arial" w:cs="Arial"/>
          <w:color w:val="000361"/>
          <w:sz w:val="20"/>
          <w:szCs w:val="20"/>
        </w:rPr>
        <w:t>: Zoetis Inc., I</w:t>
      </w:r>
      <w:r w:rsidR="00D51D8D">
        <w:rPr>
          <w:rFonts w:ascii="Arial" w:hAnsi="Arial" w:cs="Arial"/>
          <w:color w:val="000361"/>
          <w:sz w:val="20"/>
          <w:szCs w:val="20"/>
        </w:rPr>
        <w:t>dexx</w:t>
      </w:r>
      <w:r w:rsidR="00FA6320">
        <w:rPr>
          <w:rFonts w:ascii="Arial" w:hAnsi="Arial" w:cs="Arial"/>
          <w:color w:val="000361"/>
          <w:sz w:val="20"/>
          <w:szCs w:val="20"/>
        </w:rPr>
        <w:t xml:space="preserve"> Laboratories, Virbac SA, </w:t>
      </w:r>
      <w:r w:rsidR="006931EA">
        <w:rPr>
          <w:rFonts w:ascii="Arial" w:hAnsi="Arial" w:cs="Arial"/>
          <w:color w:val="000361"/>
          <w:sz w:val="20"/>
          <w:szCs w:val="20"/>
        </w:rPr>
        <w:t>Neogen</w:t>
      </w:r>
      <w:r w:rsidR="00FA6320">
        <w:rPr>
          <w:rFonts w:ascii="Arial" w:hAnsi="Arial" w:cs="Arial"/>
          <w:color w:val="000361"/>
          <w:sz w:val="20"/>
          <w:szCs w:val="20"/>
        </w:rPr>
        <w:t>, i Phibro Animal Health Corporation</w:t>
      </w:r>
      <w:r w:rsidR="003D222A">
        <w:rPr>
          <w:rFonts w:ascii="Arial" w:hAnsi="Arial" w:cs="Arial"/>
          <w:color w:val="000361"/>
          <w:sz w:val="20"/>
          <w:szCs w:val="20"/>
        </w:rPr>
        <w:t>.</w:t>
      </w:r>
      <w:r w:rsidR="002C11BF">
        <w:rPr>
          <w:rFonts w:ascii="Arial" w:hAnsi="Arial" w:cs="Arial"/>
          <w:color w:val="000361"/>
          <w:sz w:val="20"/>
          <w:szCs w:val="20"/>
        </w:rPr>
        <w:t xml:space="preserve"> El criteri de selecció de les empreses competidores que seran analitzades s’ha fet escollint les empreses que es troben millor posicionades en aquest rànquing citat anteriorment i que, a més, es pugui accedir a la informació dels comptes anuals amb certa facilitat.</w:t>
      </w:r>
    </w:p>
    <w:p w:rsidR="0000752D" w:rsidRDefault="0000752D" w:rsidP="002D48FA">
      <w:pPr>
        <w:jc w:val="both"/>
        <w:rPr>
          <w:rFonts w:ascii="Arial" w:hAnsi="Arial" w:cs="Arial"/>
          <w:color w:val="000361"/>
          <w:sz w:val="20"/>
          <w:szCs w:val="20"/>
        </w:rPr>
      </w:pPr>
    </w:p>
    <w:p w:rsidR="0000752D" w:rsidRDefault="0000752D" w:rsidP="002D48FA">
      <w:pPr>
        <w:jc w:val="both"/>
        <w:rPr>
          <w:rFonts w:ascii="Arial" w:hAnsi="Arial" w:cs="Arial"/>
          <w:color w:val="000361"/>
          <w:sz w:val="20"/>
          <w:szCs w:val="20"/>
        </w:rPr>
      </w:pPr>
      <w:r>
        <w:rPr>
          <w:rFonts w:ascii="Arial" w:hAnsi="Arial" w:cs="Arial"/>
          <w:color w:val="000361"/>
          <w:sz w:val="20"/>
          <w:szCs w:val="20"/>
        </w:rPr>
        <w:t>Taula 3.1 – Empreses competidores</w:t>
      </w:r>
    </w:p>
    <w:p w:rsidR="00125DA6" w:rsidRDefault="00125DA6" w:rsidP="002D48FA">
      <w:pPr>
        <w:jc w:val="both"/>
        <w:rPr>
          <w:rFonts w:ascii="Arial" w:hAnsi="Arial" w:cs="Arial"/>
          <w:color w:val="000361"/>
          <w:sz w:val="20"/>
          <w:szCs w:val="20"/>
        </w:rPr>
      </w:pPr>
    </w:p>
    <w:tbl>
      <w:tblPr>
        <w:tblStyle w:val="Tablaconcuadrcula"/>
        <w:tblW w:w="9192" w:type="dxa"/>
        <w:tblLook w:val="04A0" w:firstRow="1" w:lastRow="0" w:firstColumn="1" w:lastColumn="0" w:noHBand="0" w:noVBand="1"/>
      </w:tblPr>
      <w:tblGrid>
        <w:gridCol w:w="9192"/>
      </w:tblGrid>
      <w:tr w:rsidR="00DA2481" w:rsidTr="002C11BF">
        <w:trPr>
          <w:trHeight w:val="431"/>
        </w:trPr>
        <w:tc>
          <w:tcPr>
            <w:tcW w:w="9192" w:type="dxa"/>
            <w:shd w:val="clear" w:color="auto" w:fill="E7E6E6" w:themeFill="background2"/>
          </w:tcPr>
          <w:p w:rsidR="00DA2481" w:rsidRPr="00125DA6" w:rsidRDefault="00DA2481" w:rsidP="00DA2481">
            <w:pPr>
              <w:jc w:val="both"/>
              <w:rPr>
                <w:rFonts w:ascii="Arial" w:hAnsi="Arial" w:cs="Arial"/>
                <w:b/>
                <w:color w:val="000361"/>
                <w:sz w:val="20"/>
                <w:szCs w:val="20"/>
              </w:rPr>
            </w:pPr>
            <w:r w:rsidRPr="00125DA6">
              <w:rPr>
                <w:rFonts w:ascii="Arial" w:hAnsi="Arial" w:cs="Arial"/>
                <w:b/>
                <w:color w:val="000361"/>
                <w:sz w:val="20"/>
                <w:szCs w:val="20"/>
              </w:rPr>
              <w:t>Empres</w:t>
            </w:r>
            <w:r>
              <w:rPr>
                <w:rFonts w:ascii="Arial" w:hAnsi="Arial" w:cs="Arial"/>
                <w:b/>
                <w:color w:val="000361"/>
                <w:sz w:val="20"/>
                <w:szCs w:val="20"/>
              </w:rPr>
              <w:t>es competidores analitzades i alguns a</w:t>
            </w:r>
            <w:r w:rsidRPr="00125DA6">
              <w:rPr>
                <w:rFonts w:ascii="Arial" w:hAnsi="Arial" w:cs="Arial"/>
                <w:b/>
                <w:color w:val="000361"/>
                <w:sz w:val="20"/>
                <w:szCs w:val="20"/>
              </w:rPr>
              <w:t xml:space="preserve">spectes </w:t>
            </w:r>
            <w:r>
              <w:rPr>
                <w:rFonts w:ascii="Arial" w:hAnsi="Arial" w:cs="Arial"/>
                <w:b/>
                <w:color w:val="000361"/>
                <w:sz w:val="20"/>
                <w:szCs w:val="20"/>
              </w:rPr>
              <w:t>rellevants</w:t>
            </w:r>
          </w:p>
        </w:tc>
      </w:tr>
      <w:tr w:rsidR="002C11BF" w:rsidTr="002C11BF">
        <w:trPr>
          <w:trHeight w:val="1123"/>
        </w:trPr>
        <w:tc>
          <w:tcPr>
            <w:tcW w:w="9192" w:type="dxa"/>
          </w:tcPr>
          <w:p w:rsidR="002C11BF" w:rsidRDefault="002C11BF" w:rsidP="002D48FA">
            <w:pPr>
              <w:jc w:val="both"/>
              <w:rPr>
                <w:rFonts w:ascii="Arial" w:hAnsi="Arial" w:cs="Arial"/>
                <w:color w:val="000361"/>
                <w:sz w:val="20"/>
                <w:szCs w:val="20"/>
              </w:rPr>
            </w:pPr>
            <w:r w:rsidRPr="00125DA6">
              <w:rPr>
                <w:rFonts w:ascii="Arial" w:hAnsi="Arial" w:cs="Arial"/>
                <w:b/>
                <w:color w:val="000361"/>
                <w:sz w:val="20"/>
                <w:szCs w:val="20"/>
              </w:rPr>
              <w:lastRenderedPageBreak/>
              <w:t>Z</w:t>
            </w:r>
            <w:r w:rsidR="006F3AEA">
              <w:rPr>
                <w:rFonts w:ascii="Arial" w:hAnsi="Arial" w:cs="Arial"/>
                <w:b/>
                <w:color w:val="000361"/>
                <w:sz w:val="20"/>
                <w:szCs w:val="20"/>
              </w:rPr>
              <w:t>oetis</w:t>
            </w:r>
            <w:r w:rsidRPr="00125DA6">
              <w:rPr>
                <w:rFonts w:ascii="Arial" w:hAnsi="Arial" w:cs="Arial"/>
                <w:b/>
                <w:color w:val="000361"/>
                <w:sz w:val="20"/>
                <w:szCs w:val="20"/>
              </w:rPr>
              <w:t xml:space="preserve"> Inc.</w:t>
            </w:r>
          </w:p>
          <w:p w:rsidR="002C11BF" w:rsidRDefault="002C11BF" w:rsidP="002D48FA">
            <w:pPr>
              <w:jc w:val="both"/>
              <w:rPr>
                <w:rFonts w:ascii="Arial" w:hAnsi="Arial" w:cs="Arial"/>
                <w:color w:val="000361"/>
                <w:sz w:val="20"/>
                <w:szCs w:val="20"/>
              </w:rPr>
            </w:pPr>
          </w:p>
          <w:p w:rsidR="002C11BF" w:rsidRDefault="002C11BF" w:rsidP="002D48FA">
            <w:pPr>
              <w:jc w:val="both"/>
              <w:rPr>
                <w:rFonts w:ascii="Arial" w:hAnsi="Arial" w:cs="Arial"/>
                <w:color w:val="000361"/>
                <w:sz w:val="20"/>
                <w:szCs w:val="20"/>
              </w:rPr>
            </w:pPr>
            <w:r>
              <w:rPr>
                <w:rFonts w:ascii="Arial" w:hAnsi="Arial" w:cs="Arial"/>
                <w:color w:val="000361"/>
                <w:sz w:val="20"/>
                <w:szCs w:val="20"/>
              </w:rPr>
              <w:t xml:space="preserve">Lidera la producció mundial  de medicines i vacunes per animals domèstics i de producció. Aquesta empresa és subsidiària de Pfizer (major productor de fàrmacs al mercat mundial) i es va crear l’any 2012. La companyia americana Zoetis ofereix medicines, vacunes i productes de diagnosi de qualitat que complementa amb tests genètics, </w:t>
            </w:r>
            <w:r w:rsidR="006012D2">
              <w:rPr>
                <w:rFonts w:ascii="Arial" w:hAnsi="Arial" w:cs="Arial"/>
                <w:color w:val="000361"/>
                <w:sz w:val="20"/>
                <w:szCs w:val="20"/>
              </w:rPr>
              <w:t>bio-dispositius</w:t>
            </w:r>
            <w:r>
              <w:rPr>
                <w:rFonts w:ascii="Arial" w:hAnsi="Arial" w:cs="Arial"/>
                <w:color w:val="000361"/>
                <w:sz w:val="20"/>
                <w:szCs w:val="20"/>
              </w:rPr>
              <w:t xml:space="preserve"> a més d’altres serveis relacionats.</w:t>
            </w:r>
          </w:p>
          <w:p w:rsidR="002C11BF" w:rsidRDefault="002C11BF" w:rsidP="002D48FA">
            <w:pPr>
              <w:jc w:val="both"/>
              <w:rPr>
                <w:rFonts w:ascii="Arial" w:hAnsi="Arial" w:cs="Arial"/>
                <w:color w:val="000361"/>
                <w:sz w:val="20"/>
                <w:szCs w:val="20"/>
              </w:rPr>
            </w:pPr>
          </w:p>
          <w:p w:rsidR="002C11BF" w:rsidRPr="0077742A" w:rsidRDefault="002C11BF" w:rsidP="0077742A">
            <w:pPr>
              <w:pStyle w:val="Prrafodelista"/>
              <w:numPr>
                <w:ilvl w:val="0"/>
                <w:numId w:val="20"/>
              </w:numPr>
              <w:jc w:val="both"/>
              <w:rPr>
                <w:rFonts w:ascii="Arial" w:hAnsi="Arial" w:cs="Arial"/>
                <w:color w:val="000361"/>
                <w:sz w:val="20"/>
                <w:szCs w:val="20"/>
              </w:rPr>
            </w:pPr>
            <w:r w:rsidRPr="0077742A">
              <w:rPr>
                <w:rFonts w:ascii="Arial" w:hAnsi="Arial" w:cs="Arial"/>
                <w:color w:val="000361"/>
                <w:sz w:val="20"/>
                <w:szCs w:val="20"/>
              </w:rPr>
              <w:t>Ingressos (2019) : 6260 milions de dòlars</w:t>
            </w:r>
          </w:p>
          <w:p w:rsidR="002C11BF" w:rsidRPr="0077742A" w:rsidRDefault="002C11BF" w:rsidP="0077742A">
            <w:pPr>
              <w:pStyle w:val="Prrafodelista"/>
              <w:numPr>
                <w:ilvl w:val="0"/>
                <w:numId w:val="20"/>
              </w:numPr>
              <w:jc w:val="both"/>
              <w:rPr>
                <w:rFonts w:ascii="Arial" w:hAnsi="Arial" w:cs="Arial"/>
                <w:color w:val="000361"/>
                <w:sz w:val="20"/>
                <w:szCs w:val="20"/>
              </w:rPr>
            </w:pPr>
            <w:r w:rsidRPr="0077742A">
              <w:rPr>
                <w:rFonts w:ascii="Arial" w:hAnsi="Arial" w:cs="Arial"/>
                <w:color w:val="000361"/>
                <w:sz w:val="20"/>
                <w:szCs w:val="20"/>
              </w:rPr>
              <w:t>Empleats (2019) : 10600</w:t>
            </w:r>
          </w:p>
          <w:p w:rsidR="002C11BF" w:rsidRDefault="002C11BF" w:rsidP="0077742A">
            <w:pPr>
              <w:pStyle w:val="Prrafodelista"/>
              <w:numPr>
                <w:ilvl w:val="0"/>
                <w:numId w:val="20"/>
              </w:numPr>
              <w:jc w:val="both"/>
              <w:rPr>
                <w:rFonts w:ascii="Arial" w:hAnsi="Arial" w:cs="Arial"/>
                <w:color w:val="000361"/>
                <w:sz w:val="20"/>
                <w:szCs w:val="20"/>
              </w:rPr>
            </w:pPr>
            <w:r w:rsidRPr="0077742A">
              <w:rPr>
                <w:rFonts w:ascii="Arial" w:hAnsi="Arial" w:cs="Arial"/>
                <w:color w:val="000361"/>
                <w:sz w:val="20"/>
                <w:szCs w:val="20"/>
              </w:rPr>
              <w:t>Vendes</w:t>
            </w:r>
            <w:r>
              <w:rPr>
                <w:rFonts w:ascii="Arial" w:hAnsi="Arial" w:cs="Arial"/>
                <w:color w:val="000361"/>
                <w:sz w:val="20"/>
                <w:szCs w:val="20"/>
              </w:rPr>
              <w:t xml:space="preserve"> (2019): </w:t>
            </w:r>
          </w:p>
          <w:p w:rsidR="002C11BF" w:rsidRDefault="002C11BF" w:rsidP="0077742A">
            <w:pPr>
              <w:pStyle w:val="Prrafodelista"/>
              <w:jc w:val="both"/>
              <w:rPr>
                <w:rFonts w:ascii="Arial" w:hAnsi="Arial" w:cs="Arial"/>
                <w:color w:val="000361"/>
                <w:sz w:val="20"/>
                <w:szCs w:val="20"/>
              </w:rPr>
            </w:pPr>
            <w:r>
              <w:rPr>
                <w:rFonts w:ascii="Arial" w:hAnsi="Arial" w:cs="Arial"/>
                <w:color w:val="000361"/>
                <w:sz w:val="20"/>
                <w:szCs w:val="20"/>
              </w:rPr>
              <w:t>51% animals domèstics i 49% animals de producció</w:t>
            </w:r>
          </w:p>
          <w:p w:rsidR="002C11BF" w:rsidRDefault="002C11BF" w:rsidP="0077742A">
            <w:pPr>
              <w:pStyle w:val="Prrafodelista"/>
              <w:jc w:val="both"/>
              <w:rPr>
                <w:rFonts w:ascii="Arial" w:hAnsi="Arial" w:cs="Arial"/>
                <w:color w:val="000361"/>
                <w:sz w:val="20"/>
                <w:szCs w:val="20"/>
              </w:rPr>
            </w:pPr>
            <w:r>
              <w:rPr>
                <w:rFonts w:ascii="Arial" w:hAnsi="Arial" w:cs="Arial"/>
                <w:color w:val="000361"/>
                <w:sz w:val="20"/>
                <w:szCs w:val="20"/>
              </w:rPr>
              <w:t>52% de les vendes a EEUU</w:t>
            </w:r>
          </w:p>
          <w:p w:rsidR="002C11BF" w:rsidRPr="0077742A" w:rsidRDefault="002C11BF" w:rsidP="0077742A">
            <w:pPr>
              <w:pStyle w:val="Prrafodelista"/>
              <w:jc w:val="both"/>
              <w:rPr>
                <w:rFonts w:ascii="Arial" w:hAnsi="Arial" w:cs="Arial"/>
                <w:color w:val="000361"/>
                <w:sz w:val="20"/>
                <w:szCs w:val="20"/>
              </w:rPr>
            </w:pPr>
            <w:r>
              <w:rPr>
                <w:rFonts w:ascii="Arial" w:hAnsi="Arial" w:cs="Arial"/>
                <w:color w:val="000361"/>
                <w:sz w:val="20"/>
                <w:szCs w:val="20"/>
              </w:rPr>
              <w:t>Les vacunes amb un 24% és la categoria de producte més venuda</w:t>
            </w:r>
          </w:p>
          <w:p w:rsidR="002C11BF" w:rsidRDefault="002C11BF" w:rsidP="00816D70">
            <w:pPr>
              <w:jc w:val="both"/>
              <w:rPr>
                <w:rFonts w:ascii="Arial" w:hAnsi="Arial" w:cs="Arial"/>
                <w:color w:val="000361"/>
                <w:sz w:val="20"/>
                <w:szCs w:val="20"/>
              </w:rPr>
            </w:pPr>
          </w:p>
          <w:p w:rsidR="002C11BF" w:rsidRDefault="002C11BF" w:rsidP="002D48FA">
            <w:pPr>
              <w:jc w:val="both"/>
              <w:rPr>
                <w:rFonts w:ascii="Arial" w:hAnsi="Arial" w:cs="Arial"/>
                <w:color w:val="000361"/>
                <w:sz w:val="20"/>
                <w:szCs w:val="20"/>
              </w:rPr>
            </w:pPr>
          </w:p>
        </w:tc>
      </w:tr>
      <w:tr w:rsidR="002C11BF" w:rsidTr="002C11BF">
        <w:trPr>
          <w:trHeight w:val="1061"/>
        </w:trPr>
        <w:tc>
          <w:tcPr>
            <w:tcW w:w="9192" w:type="dxa"/>
          </w:tcPr>
          <w:p w:rsidR="002C11BF" w:rsidRPr="002C11BF" w:rsidRDefault="002C11BF" w:rsidP="002D48FA">
            <w:pPr>
              <w:jc w:val="both"/>
              <w:rPr>
                <w:rFonts w:ascii="Arial" w:hAnsi="Arial" w:cs="Arial"/>
                <w:b/>
                <w:color w:val="000361"/>
                <w:sz w:val="20"/>
                <w:szCs w:val="20"/>
              </w:rPr>
            </w:pPr>
            <w:r w:rsidRPr="002C11BF">
              <w:rPr>
                <w:rFonts w:ascii="Arial" w:hAnsi="Arial" w:cs="Arial"/>
                <w:b/>
                <w:color w:val="000361"/>
                <w:sz w:val="20"/>
                <w:szCs w:val="20"/>
              </w:rPr>
              <w:t>I</w:t>
            </w:r>
            <w:r w:rsidR="00D51D8D">
              <w:rPr>
                <w:rFonts w:ascii="Arial" w:hAnsi="Arial" w:cs="Arial"/>
                <w:b/>
                <w:color w:val="000361"/>
                <w:sz w:val="20"/>
                <w:szCs w:val="20"/>
              </w:rPr>
              <w:t>dexx</w:t>
            </w:r>
            <w:r w:rsidRPr="002C11BF">
              <w:rPr>
                <w:rFonts w:ascii="Arial" w:hAnsi="Arial" w:cs="Arial"/>
                <w:b/>
                <w:color w:val="000361"/>
                <w:sz w:val="20"/>
                <w:szCs w:val="20"/>
              </w:rPr>
              <w:t xml:space="preserve"> Laboratories</w:t>
            </w:r>
          </w:p>
          <w:p w:rsidR="002C11BF" w:rsidRDefault="002C11BF" w:rsidP="002D48FA">
            <w:pPr>
              <w:jc w:val="both"/>
              <w:rPr>
                <w:rFonts w:ascii="Arial" w:hAnsi="Arial" w:cs="Arial"/>
                <w:color w:val="000361"/>
                <w:sz w:val="20"/>
                <w:szCs w:val="20"/>
              </w:rPr>
            </w:pPr>
          </w:p>
          <w:p w:rsidR="002C11BF" w:rsidRDefault="002C11BF" w:rsidP="002D48FA">
            <w:pPr>
              <w:jc w:val="both"/>
              <w:rPr>
                <w:rFonts w:ascii="Arial" w:hAnsi="Arial" w:cs="Arial"/>
                <w:color w:val="000361"/>
                <w:sz w:val="20"/>
                <w:szCs w:val="20"/>
              </w:rPr>
            </w:pPr>
            <w:r>
              <w:rPr>
                <w:rFonts w:ascii="Arial" w:hAnsi="Arial" w:cs="Arial"/>
                <w:color w:val="000361"/>
                <w:sz w:val="20"/>
                <w:szCs w:val="20"/>
              </w:rPr>
              <w:t>La multinacional americana creada el 1983 es dedica a desenvolupar, fabricar i subministrar productes i serveis a empreses veterinàries.</w:t>
            </w:r>
          </w:p>
          <w:p w:rsidR="002C11BF" w:rsidRDefault="002C11BF" w:rsidP="002D48FA">
            <w:pPr>
              <w:jc w:val="both"/>
              <w:rPr>
                <w:rFonts w:ascii="Arial" w:hAnsi="Arial" w:cs="Arial"/>
                <w:color w:val="000361"/>
                <w:sz w:val="20"/>
                <w:szCs w:val="20"/>
              </w:rPr>
            </w:pPr>
          </w:p>
          <w:p w:rsidR="002C11BF" w:rsidRPr="008509A0" w:rsidRDefault="002C11BF" w:rsidP="008509A0">
            <w:pPr>
              <w:pStyle w:val="Prrafodelista"/>
              <w:numPr>
                <w:ilvl w:val="0"/>
                <w:numId w:val="21"/>
              </w:numPr>
              <w:jc w:val="both"/>
              <w:rPr>
                <w:rFonts w:ascii="Arial" w:hAnsi="Arial" w:cs="Arial"/>
                <w:color w:val="000361"/>
                <w:sz w:val="20"/>
                <w:szCs w:val="20"/>
              </w:rPr>
            </w:pPr>
            <w:r w:rsidRPr="008509A0">
              <w:rPr>
                <w:rFonts w:ascii="Arial" w:hAnsi="Arial" w:cs="Arial"/>
                <w:color w:val="000361"/>
                <w:sz w:val="20"/>
                <w:szCs w:val="20"/>
              </w:rPr>
              <w:t>Ingressos (2019) : 2.252 milions de dòlars</w:t>
            </w:r>
          </w:p>
          <w:p w:rsidR="002C11BF" w:rsidRDefault="002C11BF" w:rsidP="008509A0">
            <w:pPr>
              <w:pStyle w:val="Prrafodelista"/>
              <w:numPr>
                <w:ilvl w:val="0"/>
                <w:numId w:val="21"/>
              </w:numPr>
              <w:jc w:val="both"/>
              <w:rPr>
                <w:rFonts w:ascii="Arial" w:hAnsi="Arial" w:cs="Arial"/>
                <w:color w:val="000361"/>
                <w:sz w:val="20"/>
                <w:szCs w:val="20"/>
              </w:rPr>
            </w:pPr>
            <w:r w:rsidRPr="008509A0">
              <w:rPr>
                <w:rFonts w:ascii="Arial" w:hAnsi="Arial" w:cs="Arial"/>
                <w:color w:val="000361"/>
                <w:sz w:val="20"/>
                <w:szCs w:val="20"/>
              </w:rPr>
              <w:t>Empleats (2019) : 9200</w:t>
            </w:r>
          </w:p>
          <w:p w:rsidR="002C11BF" w:rsidRDefault="002C11BF" w:rsidP="008509A0">
            <w:pPr>
              <w:pStyle w:val="Prrafodelista"/>
              <w:numPr>
                <w:ilvl w:val="0"/>
                <w:numId w:val="21"/>
              </w:numPr>
              <w:jc w:val="both"/>
              <w:rPr>
                <w:rFonts w:ascii="Arial" w:hAnsi="Arial" w:cs="Arial"/>
                <w:color w:val="000361"/>
                <w:sz w:val="20"/>
                <w:szCs w:val="20"/>
              </w:rPr>
            </w:pPr>
            <w:r>
              <w:rPr>
                <w:rFonts w:ascii="Arial" w:hAnsi="Arial" w:cs="Arial"/>
                <w:color w:val="000361"/>
                <w:sz w:val="20"/>
                <w:szCs w:val="20"/>
              </w:rPr>
              <w:t>Vendes (2019) :</w:t>
            </w:r>
          </w:p>
          <w:p w:rsidR="002C11BF" w:rsidRDefault="002C11BF" w:rsidP="00872978">
            <w:pPr>
              <w:pStyle w:val="Prrafodelista"/>
              <w:jc w:val="both"/>
              <w:rPr>
                <w:rFonts w:ascii="Arial" w:hAnsi="Arial" w:cs="Arial"/>
                <w:color w:val="000361"/>
                <w:sz w:val="20"/>
                <w:szCs w:val="20"/>
              </w:rPr>
            </w:pPr>
            <w:r>
              <w:rPr>
                <w:rFonts w:ascii="Arial" w:hAnsi="Arial" w:cs="Arial"/>
                <w:color w:val="000361"/>
                <w:sz w:val="20"/>
                <w:szCs w:val="20"/>
              </w:rPr>
              <w:t>Distribuïdes amb un 88% en salut mascotes, 6% tractaments per l’aigua, i 6% animals de producció alimentària</w:t>
            </w:r>
          </w:p>
          <w:p w:rsidR="002C11BF" w:rsidRPr="008509A0" w:rsidRDefault="002C11BF" w:rsidP="00986E62">
            <w:pPr>
              <w:pStyle w:val="Prrafodelista"/>
              <w:jc w:val="both"/>
              <w:rPr>
                <w:rFonts w:ascii="Arial" w:hAnsi="Arial" w:cs="Arial"/>
                <w:color w:val="000361"/>
                <w:sz w:val="20"/>
                <w:szCs w:val="20"/>
              </w:rPr>
            </w:pPr>
            <w:r>
              <w:rPr>
                <w:rFonts w:ascii="Arial" w:hAnsi="Arial" w:cs="Arial"/>
                <w:color w:val="000361"/>
                <w:sz w:val="20"/>
                <w:szCs w:val="20"/>
              </w:rPr>
              <w:t>El 62% de les vendes a EEUU</w:t>
            </w:r>
          </w:p>
          <w:p w:rsidR="002C11BF" w:rsidRDefault="002C11BF" w:rsidP="002D48FA">
            <w:pPr>
              <w:jc w:val="both"/>
              <w:rPr>
                <w:rFonts w:ascii="Arial" w:hAnsi="Arial" w:cs="Arial"/>
                <w:color w:val="000361"/>
                <w:sz w:val="20"/>
                <w:szCs w:val="20"/>
              </w:rPr>
            </w:pPr>
          </w:p>
        </w:tc>
      </w:tr>
      <w:tr w:rsidR="002C11BF" w:rsidTr="002C11BF">
        <w:trPr>
          <w:trHeight w:val="1061"/>
        </w:trPr>
        <w:tc>
          <w:tcPr>
            <w:tcW w:w="9192" w:type="dxa"/>
          </w:tcPr>
          <w:p w:rsidR="002C11BF" w:rsidRDefault="002C11BF" w:rsidP="002D48FA">
            <w:pPr>
              <w:jc w:val="both"/>
              <w:rPr>
                <w:rFonts w:ascii="Arial" w:hAnsi="Arial" w:cs="Arial"/>
                <w:color w:val="000361"/>
                <w:sz w:val="20"/>
                <w:szCs w:val="20"/>
              </w:rPr>
            </w:pPr>
            <w:r w:rsidRPr="00125DA6">
              <w:rPr>
                <w:rFonts w:ascii="Arial" w:hAnsi="Arial" w:cs="Arial"/>
                <w:b/>
                <w:color w:val="000361"/>
                <w:sz w:val="20"/>
                <w:szCs w:val="20"/>
              </w:rPr>
              <w:t>Virbac SA</w:t>
            </w:r>
          </w:p>
          <w:p w:rsidR="002C11BF" w:rsidRDefault="002C11BF" w:rsidP="002D48FA">
            <w:pPr>
              <w:jc w:val="both"/>
              <w:rPr>
                <w:rFonts w:ascii="Arial" w:hAnsi="Arial" w:cs="Arial"/>
                <w:color w:val="000361"/>
                <w:sz w:val="20"/>
                <w:szCs w:val="20"/>
              </w:rPr>
            </w:pPr>
          </w:p>
          <w:p w:rsidR="002C11BF" w:rsidRDefault="002C11BF" w:rsidP="002D48FA">
            <w:pPr>
              <w:jc w:val="both"/>
              <w:rPr>
                <w:rFonts w:ascii="Arial" w:hAnsi="Arial" w:cs="Arial"/>
                <w:color w:val="000361"/>
                <w:sz w:val="20"/>
                <w:szCs w:val="20"/>
              </w:rPr>
            </w:pPr>
            <w:r>
              <w:rPr>
                <w:rFonts w:ascii="Arial" w:hAnsi="Arial" w:cs="Arial"/>
                <w:color w:val="000361"/>
                <w:sz w:val="20"/>
                <w:szCs w:val="20"/>
              </w:rPr>
              <w:t>L’empresa francesa fundada el 1968 ven medicines i vacunes per animals domèstics i animals de producció alimentària.</w:t>
            </w:r>
          </w:p>
          <w:p w:rsidR="002C11BF" w:rsidRDefault="002C11BF" w:rsidP="002D48FA">
            <w:pPr>
              <w:jc w:val="both"/>
              <w:rPr>
                <w:rFonts w:ascii="Arial" w:hAnsi="Arial" w:cs="Arial"/>
                <w:color w:val="000361"/>
                <w:sz w:val="20"/>
                <w:szCs w:val="20"/>
              </w:rPr>
            </w:pPr>
          </w:p>
          <w:p w:rsidR="002C11BF" w:rsidRPr="00D03FBB" w:rsidRDefault="002C11BF" w:rsidP="00D03FBB">
            <w:pPr>
              <w:pStyle w:val="Prrafodelista"/>
              <w:numPr>
                <w:ilvl w:val="0"/>
                <w:numId w:val="22"/>
              </w:numPr>
              <w:jc w:val="both"/>
              <w:rPr>
                <w:rFonts w:ascii="Arial" w:hAnsi="Arial" w:cs="Arial"/>
                <w:color w:val="000361"/>
                <w:sz w:val="20"/>
                <w:szCs w:val="20"/>
              </w:rPr>
            </w:pPr>
            <w:r w:rsidRPr="00D03FBB">
              <w:rPr>
                <w:rFonts w:ascii="Arial" w:hAnsi="Arial" w:cs="Arial"/>
                <w:color w:val="000361"/>
                <w:sz w:val="20"/>
                <w:szCs w:val="20"/>
              </w:rPr>
              <w:t>Ingressos (2019) : 938 milions d’€</w:t>
            </w:r>
          </w:p>
          <w:p w:rsidR="002C11BF" w:rsidRDefault="002C11BF" w:rsidP="00D03FBB">
            <w:pPr>
              <w:pStyle w:val="Prrafodelista"/>
              <w:numPr>
                <w:ilvl w:val="0"/>
                <w:numId w:val="22"/>
              </w:numPr>
              <w:jc w:val="both"/>
              <w:rPr>
                <w:rFonts w:ascii="Arial" w:hAnsi="Arial" w:cs="Arial"/>
                <w:color w:val="000361"/>
                <w:sz w:val="20"/>
                <w:szCs w:val="20"/>
              </w:rPr>
            </w:pPr>
            <w:r w:rsidRPr="00D03FBB">
              <w:rPr>
                <w:rFonts w:ascii="Arial" w:hAnsi="Arial" w:cs="Arial"/>
                <w:color w:val="000361"/>
                <w:sz w:val="20"/>
                <w:szCs w:val="20"/>
              </w:rPr>
              <w:t>Empleats (2019) : 4900</w:t>
            </w:r>
          </w:p>
          <w:p w:rsidR="002C11BF" w:rsidRDefault="002C11BF" w:rsidP="00D03FBB">
            <w:pPr>
              <w:pStyle w:val="Prrafodelista"/>
              <w:numPr>
                <w:ilvl w:val="0"/>
                <w:numId w:val="22"/>
              </w:numPr>
              <w:jc w:val="both"/>
              <w:rPr>
                <w:rFonts w:ascii="Arial" w:hAnsi="Arial" w:cs="Arial"/>
                <w:color w:val="000361"/>
                <w:sz w:val="20"/>
                <w:szCs w:val="20"/>
              </w:rPr>
            </w:pPr>
            <w:r>
              <w:rPr>
                <w:rFonts w:ascii="Arial" w:hAnsi="Arial" w:cs="Arial"/>
                <w:color w:val="000361"/>
                <w:sz w:val="20"/>
                <w:szCs w:val="20"/>
              </w:rPr>
              <w:t>Vendes:</w:t>
            </w:r>
          </w:p>
          <w:p w:rsidR="002C11BF" w:rsidRDefault="002C11BF" w:rsidP="001B66E0">
            <w:pPr>
              <w:pStyle w:val="Prrafodelista"/>
              <w:jc w:val="both"/>
              <w:rPr>
                <w:rFonts w:ascii="Arial" w:hAnsi="Arial" w:cs="Arial"/>
                <w:color w:val="000361"/>
                <w:sz w:val="20"/>
                <w:szCs w:val="20"/>
              </w:rPr>
            </w:pPr>
            <w:r>
              <w:rPr>
                <w:rFonts w:ascii="Arial" w:hAnsi="Arial" w:cs="Arial"/>
                <w:color w:val="000361"/>
                <w:sz w:val="20"/>
                <w:szCs w:val="20"/>
              </w:rPr>
              <w:t>59% animals domèstics i 41% animals de producció alimentaria</w:t>
            </w:r>
          </w:p>
          <w:p w:rsidR="002C11BF" w:rsidRDefault="002C11BF" w:rsidP="001B66E0">
            <w:pPr>
              <w:pStyle w:val="Prrafodelista"/>
              <w:jc w:val="both"/>
              <w:rPr>
                <w:rFonts w:ascii="Arial" w:hAnsi="Arial" w:cs="Arial"/>
                <w:color w:val="000361"/>
                <w:sz w:val="20"/>
                <w:szCs w:val="20"/>
              </w:rPr>
            </w:pPr>
            <w:r>
              <w:rPr>
                <w:rFonts w:ascii="Arial" w:hAnsi="Arial" w:cs="Arial"/>
                <w:color w:val="000361"/>
                <w:sz w:val="20"/>
                <w:szCs w:val="20"/>
              </w:rPr>
              <w:t>Les vendes del segment animals domèstics creix el 2019 en un 9,6% mentre que els animals de producció ho fa en un 2,4%</w:t>
            </w:r>
          </w:p>
          <w:p w:rsidR="002C11BF" w:rsidRDefault="002C11BF" w:rsidP="001B66E0">
            <w:pPr>
              <w:pStyle w:val="Prrafodelista"/>
              <w:jc w:val="both"/>
              <w:rPr>
                <w:rFonts w:ascii="Arial" w:hAnsi="Arial" w:cs="Arial"/>
                <w:color w:val="000361"/>
                <w:sz w:val="20"/>
                <w:szCs w:val="20"/>
              </w:rPr>
            </w:pPr>
            <w:r>
              <w:rPr>
                <w:rFonts w:ascii="Arial" w:hAnsi="Arial" w:cs="Arial"/>
                <w:color w:val="000361"/>
                <w:sz w:val="20"/>
                <w:szCs w:val="20"/>
              </w:rPr>
              <w:t>Destina el 8% de les vendes a investigació</w:t>
            </w:r>
          </w:p>
          <w:p w:rsidR="002C11BF" w:rsidRDefault="002C11BF" w:rsidP="001B66E0">
            <w:pPr>
              <w:pStyle w:val="Prrafodelista"/>
              <w:jc w:val="both"/>
              <w:rPr>
                <w:rFonts w:ascii="Arial" w:hAnsi="Arial" w:cs="Arial"/>
                <w:color w:val="000361"/>
                <w:sz w:val="20"/>
                <w:szCs w:val="20"/>
              </w:rPr>
            </w:pPr>
            <w:r>
              <w:rPr>
                <w:rFonts w:ascii="Arial" w:hAnsi="Arial" w:cs="Arial"/>
                <w:color w:val="000361"/>
                <w:sz w:val="20"/>
                <w:szCs w:val="20"/>
              </w:rPr>
              <w:t>El 38% de les vendes del 2019 es fan a Europa especialment a França.</w:t>
            </w:r>
          </w:p>
          <w:p w:rsidR="002C11BF" w:rsidRDefault="002C11BF" w:rsidP="001B66E0">
            <w:pPr>
              <w:pStyle w:val="Prrafodelista"/>
              <w:jc w:val="both"/>
              <w:rPr>
                <w:rFonts w:ascii="Arial" w:hAnsi="Arial" w:cs="Arial"/>
                <w:color w:val="000361"/>
                <w:sz w:val="20"/>
                <w:szCs w:val="20"/>
              </w:rPr>
            </w:pPr>
          </w:p>
        </w:tc>
      </w:tr>
      <w:tr w:rsidR="002C11BF" w:rsidTr="002C11BF">
        <w:trPr>
          <w:trHeight w:val="1123"/>
        </w:trPr>
        <w:tc>
          <w:tcPr>
            <w:tcW w:w="9192" w:type="dxa"/>
          </w:tcPr>
          <w:p w:rsidR="002C11BF" w:rsidRDefault="002C11BF" w:rsidP="002D48FA">
            <w:pPr>
              <w:jc w:val="both"/>
              <w:rPr>
                <w:rFonts w:ascii="Arial" w:hAnsi="Arial" w:cs="Arial"/>
                <w:b/>
                <w:color w:val="000361"/>
                <w:sz w:val="20"/>
                <w:szCs w:val="20"/>
              </w:rPr>
            </w:pPr>
            <w:r>
              <w:rPr>
                <w:rFonts w:ascii="Arial" w:hAnsi="Arial" w:cs="Arial"/>
                <w:b/>
                <w:color w:val="000361"/>
                <w:sz w:val="20"/>
                <w:szCs w:val="20"/>
              </w:rPr>
              <w:t>Neogen</w:t>
            </w:r>
          </w:p>
          <w:p w:rsidR="002C11BF" w:rsidRDefault="002C11BF" w:rsidP="002D48FA">
            <w:pPr>
              <w:jc w:val="both"/>
              <w:rPr>
                <w:rFonts w:ascii="Arial" w:hAnsi="Arial" w:cs="Arial"/>
                <w:color w:val="000361"/>
                <w:sz w:val="20"/>
                <w:szCs w:val="20"/>
              </w:rPr>
            </w:pPr>
          </w:p>
          <w:p w:rsidR="002C11BF" w:rsidRDefault="002C11BF" w:rsidP="002D48FA">
            <w:pPr>
              <w:jc w:val="both"/>
              <w:rPr>
                <w:rFonts w:ascii="Arial" w:hAnsi="Arial" w:cs="Arial"/>
                <w:color w:val="000361"/>
                <w:sz w:val="20"/>
                <w:szCs w:val="20"/>
              </w:rPr>
            </w:pPr>
            <w:r>
              <w:rPr>
                <w:rFonts w:ascii="Arial" w:hAnsi="Arial" w:cs="Arial"/>
                <w:color w:val="000361"/>
                <w:sz w:val="20"/>
                <w:szCs w:val="20"/>
              </w:rPr>
              <w:t xml:space="preserve">Empresa global fundada el 1982 ubicada a Michigan (EEUU) que sorgeix a partir de la col·laboració entre Universitats i empreses privades.  Fabrica i ven productes de seguretat animal i alimentària, i solucions diagnòstiques dins d’aquest àmbit. </w:t>
            </w:r>
          </w:p>
          <w:p w:rsidR="002C11BF" w:rsidRDefault="002C11BF" w:rsidP="002D48FA">
            <w:pPr>
              <w:jc w:val="both"/>
              <w:rPr>
                <w:rFonts w:ascii="Arial" w:hAnsi="Arial" w:cs="Arial"/>
                <w:color w:val="000361"/>
                <w:sz w:val="20"/>
                <w:szCs w:val="20"/>
              </w:rPr>
            </w:pPr>
          </w:p>
          <w:p w:rsidR="002C11BF" w:rsidRPr="001B66E0" w:rsidRDefault="002C11BF" w:rsidP="001B66E0">
            <w:pPr>
              <w:pStyle w:val="Prrafodelista"/>
              <w:numPr>
                <w:ilvl w:val="0"/>
                <w:numId w:val="23"/>
              </w:numPr>
              <w:jc w:val="both"/>
              <w:rPr>
                <w:rFonts w:ascii="Arial" w:hAnsi="Arial" w:cs="Arial"/>
                <w:color w:val="000361"/>
                <w:sz w:val="20"/>
                <w:szCs w:val="20"/>
              </w:rPr>
            </w:pPr>
            <w:r w:rsidRPr="001B66E0">
              <w:rPr>
                <w:rFonts w:ascii="Arial" w:hAnsi="Arial" w:cs="Arial"/>
                <w:color w:val="000361"/>
                <w:sz w:val="20"/>
                <w:szCs w:val="20"/>
              </w:rPr>
              <w:t xml:space="preserve">Ingressos (2019) : </w:t>
            </w:r>
            <w:r>
              <w:rPr>
                <w:rFonts w:ascii="Arial" w:hAnsi="Arial" w:cs="Arial"/>
                <w:color w:val="000361"/>
                <w:sz w:val="20"/>
                <w:szCs w:val="20"/>
              </w:rPr>
              <w:t>414</w:t>
            </w:r>
            <w:r w:rsidRPr="001B66E0">
              <w:rPr>
                <w:rFonts w:ascii="Arial" w:hAnsi="Arial" w:cs="Arial"/>
                <w:color w:val="000361"/>
                <w:sz w:val="20"/>
                <w:szCs w:val="20"/>
              </w:rPr>
              <w:t xml:space="preserve"> milions de dòlars</w:t>
            </w:r>
          </w:p>
          <w:p w:rsidR="002C11BF" w:rsidRDefault="002C11BF" w:rsidP="001B66E0">
            <w:pPr>
              <w:pStyle w:val="Prrafodelista"/>
              <w:numPr>
                <w:ilvl w:val="0"/>
                <w:numId w:val="23"/>
              </w:numPr>
              <w:jc w:val="both"/>
              <w:rPr>
                <w:rFonts w:ascii="Arial" w:hAnsi="Arial" w:cs="Arial"/>
                <w:color w:val="000361"/>
                <w:sz w:val="20"/>
                <w:szCs w:val="20"/>
              </w:rPr>
            </w:pPr>
            <w:r>
              <w:rPr>
                <w:rFonts w:ascii="Arial" w:hAnsi="Arial" w:cs="Arial"/>
                <w:color w:val="000361"/>
                <w:sz w:val="20"/>
                <w:szCs w:val="20"/>
              </w:rPr>
              <w:t xml:space="preserve">Vendes (2019) : </w:t>
            </w:r>
          </w:p>
          <w:p w:rsidR="002C11BF" w:rsidRDefault="002C11BF" w:rsidP="00EE4D58">
            <w:pPr>
              <w:pStyle w:val="Prrafodelista"/>
              <w:jc w:val="both"/>
              <w:rPr>
                <w:rFonts w:ascii="Arial" w:hAnsi="Arial" w:cs="Arial"/>
                <w:color w:val="000361"/>
                <w:sz w:val="20"/>
                <w:szCs w:val="20"/>
              </w:rPr>
            </w:pPr>
            <w:r>
              <w:rPr>
                <w:rFonts w:ascii="Arial" w:hAnsi="Arial" w:cs="Arial"/>
                <w:color w:val="000361"/>
                <w:sz w:val="20"/>
                <w:szCs w:val="20"/>
              </w:rPr>
              <w:t>52% en productes d’alimentació animal i un 48% en salut animal</w:t>
            </w:r>
          </w:p>
          <w:p w:rsidR="002C11BF" w:rsidRPr="001B66E0" w:rsidRDefault="002C11BF" w:rsidP="00EE4D58">
            <w:pPr>
              <w:pStyle w:val="Prrafodelista"/>
              <w:jc w:val="both"/>
              <w:rPr>
                <w:rFonts w:ascii="Arial" w:hAnsi="Arial" w:cs="Arial"/>
                <w:color w:val="000361"/>
                <w:sz w:val="20"/>
                <w:szCs w:val="20"/>
              </w:rPr>
            </w:pPr>
            <w:r>
              <w:rPr>
                <w:rFonts w:ascii="Arial" w:hAnsi="Arial" w:cs="Arial"/>
                <w:color w:val="000361"/>
                <w:sz w:val="20"/>
                <w:szCs w:val="20"/>
              </w:rPr>
              <w:t>Un 60% de les vendes procedeix dels EEUU</w:t>
            </w:r>
          </w:p>
          <w:p w:rsidR="002C11BF" w:rsidRDefault="002C11BF" w:rsidP="002D48FA">
            <w:pPr>
              <w:jc w:val="both"/>
              <w:rPr>
                <w:rFonts w:ascii="Arial" w:hAnsi="Arial" w:cs="Arial"/>
                <w:color w:val="000361"/>
                <w:sz w:val="20"/>
                <w:szCs w:val="20"/>
              </w:rPr>
            </w:pPr>
          </w:p>
        </w:tc>
      </w:tr>
      <w:tr w:rsidR="002C11BF" w:rsidTr="002C11BF">
        <w:trPr>
          <w:trHeight w:val="1061"/>
        </w:trPr>
        <w:tc>
          <w:tcPr>
            <w:tcW w:w="9192" w:type="dxa"/>
          </w:tcPr>
          <w:p w:rsidR="002C11BF" w:rsidRDefault="002C11BF" w:rsidP="002D48FA">
            <w:pPr>
              <w:jc w:val="both"/>
              <w:rPr>
                <w:rFonts w:ascii="Arial" w:hAnsi="Arial" w:cs="Arial"/>
                <w:b/>
                <w:color w:val="000361"/>
                <w:sz w:val="20"/>
                <w:szCs w:val="20"/>
              </w:rPr>
            </w:pPr>
            <w:r w:rsidRPr="00125DA6">
              <w:rPr>
                <w:rFonts w:ascii="Arial" w:hAnsi="Arial" w:cs="Arial"/>
                <w:b/>
                <w:color w:val="000361"/>
                <w:sz w:val="20"/>
                <w:szCs w:val="20"/>
              </w:rPr>
              <w:t>Phibro Animal Health</w:t>
            </w:r>
          </w:p>
          <w:p w:rsidR="002C11BF" w:rsidRDefault="002C11BF" w:rsidP="002D48FA">
            <w:pPr>
              <w:jc w:val="both"/>
              <w:rPr>
                <w:rFonts w:ascii="Arial" w:hAnsi="Arial" w:cs="Arial"/>
                <w:color w:val="000361"/>
                <w:sz w:val="20"/>
                <w:szCs w:val="20"/>
              </w:rPr>
            </w:pPr>
          </w:p>
          <w:p w:rsidR="002C11BF" w:rsidRDefault="002C11BF" w:rsidP="002D48FA">
            <w:pPr>
              <w:jc w:val="both"/>
              <w:rPr>
                <w:rFonts w:ascii="Arial" w:hAnsi="Arial" w:cs="Arial"/>
                <w:color w:val="000361"/>
                <w:sz w:val="20"/>
                <w:szCs w:val="20"/>
              </w:rPr>
            </w:pPr>
            <w:r>
              <w:rPr>
                <w:rFonts w:ascii="Arial" w:hAnsi="Arial" w:cs="Arial"/>
                <w:color w:val="000361"/>
                <w:sz w:val="20"/>
                <w:szCs w:val="20"/>
              </w:rPr>
              <w:t xml:space="preserve">Empresa d’Estats Units creada el 1946 que es dedica a la producció de fàrmacs i complements nutritius per a la Salut Animal. </w:t>
            </w:r>
          </w:p>
          <w:p w:rsidR="002C11BF" w:rsidRDefault="002C11BF" w:rsidP="002D48FA">
            <w:pPr>
              <w:jc w:val="both"/>
              <w:rPr>
                <w:rFonts w:ascii="Arial" w:hAnsi="Arial" w:cs="Arial"/>
                <w:color w:val="000361"/>
                <w:sz w:val="20"/>
                <w:szCs w:val="20"/>
              </w:rPr>
            </w:pPr>
          </w:p>
          <w:p w:rsidR="002C11BF" w:rsidRPr="00EE4D58" w:rsidRDefault="002C11BF" w:rsidP="00EE4D58">
            <w:pPr>
              <w:pStyle w:val="Prrafodelista"/>
              <w:numPr>
                <w:ilvl w:val="0"/>
                <w:numId w:val="27"/>
              </w:numPr>
              <w:jc w:val="both"/>
              <w:rPr>
                <w:rFonts w:ascii="Arial" w:hAnsi="Arial" w:cs="Arial"/>
                <w:color w:val="000361"/>
                <w:sz w:val="20"/>
                <w:szCs w:val="20"/>
              </w:rPr>
            </w:pPr>
            <w:r w:rsidRPr="00EE4D58">
              <w:rPr>
                <w:rFonts w:ascii="Arial" w:hAnsi="Arial" w:cs="Arial"/>
                <w:color w:val="000361"/>
                <w:sz w:val="20"/>
                <w:szCs w:val="20"/>
              </w:rPr>
              <w:t>Ingressos (2019) : 828 milions de dòlars</w:t>
            </w:r>
          </w:p>
          <w:p w:rsidR="002C11BF" w:rsidRPr="00EE4D58" w:rsidRDefault="002C11BF" w:rsidP="00EE4D58">
            <w:pPr>
              <w:pStyle w:val="Prrafodelista"/>
              <w:numPr>
                <w:ilvl w:val="0"/>
                <w:numId w:val="26"/>
              </w:numPr>
              <w:jc w:val="both"/>
              <w:rPr>
                <w:rFonts w:ascii="Arial" w:hAnsi="Arial" w:cs="Arial"/>
                <w:color w:val="000361"/>
                <w:sz w:val="20"/>
                <w:szCs w:val="20"/>
              </w:rPr>
            </w:pPr>
            <w:r w:rsidRPr="00EE4D58">
              <w:rPr>
                <w:rFonts w:ascii="Arial" w:hAnsi="Arial" w:cs="Arial"/>
                <w:color w:val="000361"/>
                <w:sz w:val="20"/>
                <w:szCs w:val="20"/>
              </w:rPr>
              <w:lastRenderedPageBreak/>
              <w:t>Empleats (2019) : 1700</w:t>
            </w:r>
          </w:p>
          <w:p w:rsidR="002C11BF" w:rsidRDefault="002C11BF" w:rsidP="00167F5E">
            <w:pPr>
              <w:pStyle w:val="Prrafodelista"/>
              <w:numPr>
                <w:ilvl w:val="0"/>
                <w:numId w:val="25"/>
              </w:numPr>
              <w:jc w:val="both"/>
              <w:rPr>
                <w:rFonts w:ascii="Arial" w:hAnsi="Arial" w:cs="Arial"/>
                <w:color w:val="000361"/>
                <w:sz w:val="20"/>
                <w:szCs w:val="20"/>
              </w:rPr>
            </w:pPr>
            <w:r>
              <w:rPr>
                <w:rFonts w:ascii="Arial" w:hAnsi="Arial" w:cs="Arial"/>
                <w:color w:val="000361"/>
                <w:sz w:val="20"/>
                <w:szCs w:val="20"/>
              </w:rPr>
              <w:t>Vendes (2019):</w:t>
            </w:r>
          </w:p>
          <w:p w:rsidR="002C11BF" w:rsidRDefault="002C11BF" w:rsidP="00EE4D58">
            <w:pPr>
              <w:pStyle w:val="Prrafodelista"/>
              <w:jc w:val="both"/>
              <w:rPr>
                <w:rFonts w:ascii="Arial" w:hAnsi="Arial" w:cs="Arial"/>
                <w:color w:val="000361"/>
                <w:sz w:val="20"/>
                <w:szCs w:val="20"/>
              </w:rPr>
            </w:pPr>
            <w:r>
              <w:rPr>
                <w:rFonts w:ascii="Arial" w:hAnsi="Arial" w:cs="Arial"/>
                <w:color w:val="000361"/>
                <w:sz w:val="20"/>
                <w:szCs w:val="20"/>
              </w:rPr>
              <w:t>64% en Salut Animal i 36% complements alimentaris i altres</w:t>
            </w:r>
          </w:p>
          <w:p w:rsidR="002C11BF" w:rsidRDefault="002C11BF" w:rsidP="00EE4D58">
            <w:pPr>
              <w:pStyle w:val="Prrafodelista"/>
              <w:jc w:val="both"/>
              <w:rPr>
                <w:rFonts w:ascii="Arial" w:hAnsi="Arial" w:cs="Arial"/>
                <w:color w:val="000361"/>
                <w:sz w:val="20"/>
                <w:szCs w:val="20"/>
              </w:rPr>
            </w:pPr>
            <w:r>
              <w:rPr>
                <w:rFonts w:ascii="Arial" w:hAnsi="Arial" w:cs="Arial"/>
                <w:color w:val="000361"/>
                <w:sz w:val="20"/>
                <w:szCs w:val="20"/>
              </w:rPr>
              <w:t>13% de les vendes totals corresponen a vacunes</w:t>
            </w:r>
          </w:p>
          <w:p w:rsidR="002C11BF" w:rsidRDefault="002C11BF" w:rsidP="00EE4D58">
            <w:pPr>
              <w:pStyle w:val="Prrafodelista"/>
              <w:jc w:val="both"/>
              <w:rPr>
                <w:rFonts w:ascii="Arial" w:hAnsi="Arial" w:cs="Arial"/>
                <w:color w:val="000361"/>
                <w:sz w:val="20"/>
                <w:szCs w:val="20"/>
              </w:rPr>
            </w:pPr>
            <w:r>
              <w:rPr>
                <w:rFonts w:ascii="Arial" w:hAnsi="Arial" w:cs="Arial"/>
                <w:color w:val="000361"/>
                <w:sz w:val="20"/>
                <w:szCs w:val="20"/>
              </w:rPr>
              <w:t>58% de les vendes als EEUU</w:t>
            </w:r>
          </w:p>
          <w:p w:rsidR="002C11BF" w:rsidRDefault="002C11BF" w:rsidP="00EE4D58">
            <w:pPr>
              <w:pStyle w:val="Prrafodelista"/>
              <w:jc w:val="both"/>
              <w:rPr>
                <w:rFonts w:ascii="Arial" w:hAnsi="Arial" w:cs="Arial"/>
                <w:color w:val="000361"/>
                <w:sz w:val="20"/>
                <w:szCs w:val="20"/>
              </w:rPr>
            </w:pPr>
            <w:r>
              <w:rPr>
                <w:rFonts w:ascii="Arial" w:hAnsi="Arial" w:cs="Arial"/>
                <w:color w:val="000361"/>
                <w:sz w:val="20"/>
                <w:szCs w:val="20"/>
              </w:rPr>
              <w:t xml:space="preserve">El mercat asiàtic és el que ha augmentat més en vendes respecte l’any anterior amb un 17% </w:t>
            </w:r>
          </w:p>
          <w:p w:rsidR="002C11BF" w:rsidRPr="00167F5E" w:rsidRDefault="002C11BF" w:rsidP="00EE4D58">
            <w:pPr>
              <w:pStyle w:val="Prrafodelista"/>
              <w:jc w:val="both"/>
              <w:rPr>
                <w:rFonts w:ascii="Arial" w:hAnsi="Arial" w:cs="Arial"/>
                <w:color w:val="000361"/>
                <w:sz w:val="20"/>
                <w:szCs w:val="20"/>
              </w:rPr>
            </w:pPr>
          </w:p>
        </w:tc>
      </w:tr>
    </w:tbl>
    <w:p w:rsidR="003D222A" w:rsidRPr="002A401E" w:rsidRDefault="002A401E" w:rsidP="002D48FA">
      <w:pPr>
        <w:jc w:val="both"/>
        <w:rPr>
          <w:rFonts w:ascii="Arial" w:hAnsi="Arial" w:cs="Arial"/>
          <w:color w:val="000361"/>
          <w:sz w:val="14"/>
          <w:szCs w:val="14"/>
        </w:rPr>
      </w:pPr>
      <w:r w:rsidRPr="002A401E">
        <w:rPr>
          <w:rFonts w:ascii="Arial" w:hAnsi="Arial" w:cs="Arial"/>
          <w:color w:val="000361"/>
          <w:sz w:val="14"/>
          <w:szCs w:val="14"/>
        </w:rPr>
        <w:lastRenderedPageBreak/>
        <w:t>Font: Elaboració pròpia a partir de la informació que proporciona la web corporativa d’aquestes empreses</w:t>
      </w:r>
    </w:p>
    <w:p w:rsidR="003D222A" w:rsidRDefault="003D222A" w:rsidP="002D48FA">
      <w:pPr>
        <w:jc w:val="both"/>
        <w:rPr>
          <w:rFonts w:ascii="Arial" w:hAnsi="Arial" w:cs="Arial"/>
          <w:color w:val="000361"/>
          <w:sz w:val="20"/>
          <w:szCs w:val="20"/>
        </w:rPr>
      </w:pPr>
    </w:p>
    <w:p w:rsidR="002F053A" w:rsidRDefault="00704BC6" w:rsidP="002D48FA">
      <w:pPr>
        <w:jc w:val="both"/>
        <w:rPr>
          <w:rFonts w:ascii="Arial" w:hAnsi="Arial" w:cs="Arial"/>
          <w:color w:val="000361"/>
          <w:sz w:val="20"/>
          <w:szCs w:val="20"/>
        </w:rPr>
      </w:pPr>
      <w:r>
        <w:rPr>
          <w:rFonts w:ascii="Arial" w:hAnsi="Arial" w:cs="Arial"/>
          <w:color w:val="000361"/>
          <w:sz w:val="20"/>
          <w:szCs w:val="20"/>
        </w:rPr>
        <w:t>Amb els resultats prèviament obtinguts de Laboratoris H</w:t>
      </w:r>
      <w:r w:rsidR="006F3AEA">
        <w:rPr>
          <w:rFonts w:ascii="Arial" w:hAnsi="Arial" w:cs="Arial"/>
          <w:color w:val="000361"/>
          <w:sz w:val="20"/>
          <w:szCs w:val="20"/>
        </w:rPr>
        <w:t>ipra</w:t>
      </w:r>
      <w:r>
        <w:rPr>
          <w:rFonts w:ascii="Arial" w:hAnsi="Arial" w:cs="Arial"/>
          <w:color w:val="000361"/>
          <w:sz w:val="20"/>
          <w:szCs w:val="20"/>
        </w:rPr>
        <w:t xml:space="preserve"> i per mitjà de l’anàlisi dels comptes anuals d’aquestes empreses competidores </w:t>
      </w:r>
      <w:r w:rsidR="00FA6320">
        <w:rPr>
          <w:rFonts w:ascii="Arial" w:hAnsi="Arial" w:cs="Arial"/>
          <w:color w:val="000361"/>
          <w:sz w:val="20"/>
          <w:szCs w:val="20"/>
        </w:rPr>
        <w:t>es concretar</w:t>
      </w:r>
      <w:r>
        <w:rPr>
          <w:rFonts w:ascii="Arial" w:hAnsi="Arial" w:cs="Arial"/>
          <w:color w:val="000361"/>
          <w:sz w:val="20"/>
          <w:szCs w:val="20"/>
        </w:rPr>
        <w:t>an</w:t>
      </w:r>
      <w:r w:rsidR="00FA6320">
        <w:rPr>
          <w:rFonts w:ascii="Arial" w:hAnsi="Arial" w:cs="Arial"/>
          <w:color w:val="000361"/>
          <w:sz w:val="20"/>
          <w:szCs w:val="20"/>
        </w:rPr>
        <w:t xml:space="preserve"> semblances i diferències </w:t>
      </w:r>
      <w:r>
        <w:rPr>
          <w:rFonts w:ascii="Arial" w:hAnsi="Arial" w:cs="Arial"/>
          <w:color w:val="000361"/>
          <w:sz w:val="20"/>
          <w:szCs w:val="20"/>
        </w:rPr>
        <w:t xml:space="preserve">de la seva evolució pels anys 2015 al 2019. Amb aquest estudi comparatiu s’estableix una mitjana </w:t>
      </w:r>
      <w:r w:rsidR="00655428">
        <w:rPr>
          <w:rFonts w:ascii="Arial" w:hAnsi="Arial" w:cs="Arial"/>
          <w:color w:val="000361"/>
          <w:sz w:val="20"/>
          <w:szCs w:val="20"/>
        </w:rPr>
        <w:t>dels valors d’aquestes 6 empreses com a mitjana sectorial.</w:t>
      </w:r>
    </w:p>
    <w:p w:rsidR="00704BC6" w:rsidRDefault="00704BC6" w:rsidP="002D48FA">
      <w:pPr>
        <w:jc w:val="both"/>
        <w:rPr>
          <w:rFonts w:ascii="Arial" w:hAnsi="Arial" w:cs="Arial"/>
          <w:b/>
          <w:color w:val="000361"/>
        </w:rPr>
      </w:pPr>
    </w:p>
    <w:p w:rsidR="00AB387A" w:rsidRDefault="00AB387A" w:rsidP="002D48FA">
      <w:pPr>
        <w:jc w:val="both"/>
        <w:rPr>
          <w:rFonts w:ascii="Arial" w:hAnsi="Arial" w:cs="Arial"/>
          <w:b/>
          <w:color w:val="000361"/>
        </w:rPr>
      </w:pPr>
      <w:r w:rsidRPr="00775233">
        <w:rPr>
          <w:rFonts w:ascii="Arial" w:hAnsi="Arial" w:cs="Arial"/>
          <w:b/>
          <w:color w:val="000361"/>
        </w:rPr>
        <w:t>3.</w:t>
      </w:r>
      <w:r w:rsidR="00775233" w:rsidRPr="00775233">
        <w:rPr>
          <w:rFonts w:ascii="Arial" w:hAnsi="Arial" w:cs="Arial"/>
          <w:b/>
          <w:color w:val="000361"/>
        </w:rPr>
        <w:t>4</w:t>
      </w:r>
      <w:r w:rsidRPr="00775233">
        <w:rPr>
          <w:rFonts w:ascii="Arial" w:hAnsi="Arial" w:cs="Arial"/>
          <w:b/>
          <w:color w:val="000361"/>
        </w:rPr>
        <w:t>. Anàlisi de l’evolució dels principals indicadors del sector</w:t>
      </w:r>
    </w:p>
    <w:p w:rsidR="00775233" w:rsidRPr="00775233" w:rsidRDefault="00775233" w:rsidP="002D48FA">
      <w:pPr>
        <w:jc w:val="both"/>
        <w:rPr>
          <w:rFonts w:ascii="Arial" w:hAnsi="Arial" w:cs="Arial"/>
          <w:b/>
          <w:color w:val="000361"/>
        </w:rPr>
      </w:pPr>
    </w:p>
    <w:p w:rsidR="00AB387A" w:rsidRDefault="00AB387A" w:rsidP="002D48FA">
      <w:pPr>
        <w:jc w:val="both"/>
        <w:rPr>
          <w:rFonts w:ascii="Arial" w:hAnsi="Arial" w:cs="Arial"/>
          <w:color w:val="000361"/>
          <w:sz w:val="20"/>
          <w:szCs w:val="20"/>
        </w:rPr>
      </w:pPr>
      <w:r w:rsidRPr="00DD67A6">
        <w:rPr>
          <w:rFonts w:ascii="Arial" w:hAnsi="Arial" w:cs="Arial"/>
          <w:color w:val="000361"/>
          <w:sz w:val="20"/>
          <w:szCs w:val="20"/>
        </w:rPr>
        <w:t>3.</w:t>
      </w:r>
      <w:r w:rsidR="00775233">
        <w:rPr>
          <w:rFonts w:ascii="Arial" w:hAnsi="Arial" w:cs="Arial"/>
          <w:color w:val="000361"/>
          <w:sz w:val="20"/>
          <w:szCs w:val="20"/>
        </w:rPr>
        <w:t>4</w:t>
      </w:r>
      <w:r w:rsidRPr="00DD67A6">
        <w:rPr>
          <w:rFonts w:ascii="Arial" w:hAnsi="Arial" w:cs="Arial"/>
          <w:color w:val="000361"/>
          <w:sz w:val="20"/>
          <w:szCs w:val="20"/>
        </w:rPr>
        <w:t>.1. Posició sectorial</w:t>
      </w:r>
    </w:p>
    <w:p w:rsidR="00775233" w:rsidRDefault="00775233" w:rsidP="002D48FA">
      <w:pPr>
        <w:jc w:val="both"/>
        <w:rPr>
          <w:rFonts w:ascii="Arial" w:hAnsi="Arial" w:cs="Arial"/>
          <w:color w:val="000361"/>
          <w:sz w:val="20"/>
          <w:szCs w:val="20"/>
        </w:rPr>
      </w:pPr>
    </w:p>
    <w:p w:rsidR="00761E29" w:rsidRPr="005736B4" w:rsidRDefault="00761E29" w:rsidP="002D48FA">
      <w:pPr>
        <w:jc w:val="both"/>
        <w:rPr>
          <w:rFonts w:ascii="Arial" w:hAnsi="Arial" w:cs="Arial"/>
          <w:color w:val="000361"/>
          <w:sz w:val="20"/>
          <w:szCs w:val="20"/>
        </w:rPr>
      </w:pPr>
      <w:r>
        <w:rPr>
          <w:rFonts w:ascii="Arial" w:hAnsi="Arial" w:cs="Arial"/>
          <w:color w:val="000361"/>
          <w:sz w:val="20"/>
          <w:szCs w:val="20"/>
        </w:rPr>
        <w:t>Laboratoris Hipra l’any 2019 figurava a la posició número 15 de la llista de les 20 empreses farmacèutiques que més facturen en Salut Animal</w:t>
      </w:r>
      <w:r w:rsidR="005736B4">
        <w:rPr>
          <w:rFonts w:ascii="Arial" w:hAnsi="Arial" w:cs="Arial"/>
          <w:color w:val="000361"/>
          <w:sz w:val="20"/>
          <w:szCs w:val="20"/>
        </w:rPr>
        <w:t xml:space="preserve"> publicada per Avicultura</w:t>
      </w:r>
      <w:r w:rsidR="005736B4">
        <w:rPr>
          <w:rStyle w:val="Refdenotaalpie"/>
          <w:rFonts w:ascii="Arial" w:hAnsi="Arial" w:cs="Arial"/>
          <w:color w:val="000361"/>
          <w:sz w:val="20"/>
          <w:szCs w:val="20"/>
        </w:rPr>
        <w:footnoteReference w:id="2"/>
      </w:r>
      <w:r>
        <w:rPr>
          <w:rFonts w:ascii="Arial" w:hAnsi="Arial" w:cs="Arial"/>
          <w:color w:val="000361"/>
          <w:sz w:val="20"/>
          <w:szCs w:val="20"/>
        </w:rPr>
        <w:t>. En aquesta llista també hi figuren les empreses competidores escollides per dur a terme l’anàlisi sectorial: Zoetis, I</w:t>
      </w:r>
      <w:r w:rsidR="00D51D8D">
        <w:rPr>
          <w:rFonts w:ascii="Arial" w:hAnsi="Arial" w:cs="Arial"/>
          <w:color w:val="000361"/>
          <w:sz w:val="20"/>
          <w:szCs w:val="20"/>
        </w:rPr>
        <w:t>dexx</w:t>
      </w:r>
      <w:r>
        <w:rPr>
          <w:rFonts w:ascii="Arial" w:hAnsi="Arial" w:cs="Arial"/>
          <w:color w:val="000361"/>
          <w:sz w:val="20"/>
          <w:szCs w:val="20"/>
        </w:rPr>
        <w:t xml:space="preserve"> Laboratories, Virbac, Phibro Animal Health i Neogen.</w:t>
      </w:r>
    </w:p>
    <w:p w:rsidR="00761E29" w:rsidRDefault="00761E29" w:rsidP="002D48FA">
      <w:pPr>
        <w:jc w:val="both"/>
        <w:rPr>
          <w:rFonts w:ascii="Arial" w:hAnsi="Arial" w:cs="Arial"/>
          <w:color w:val="000361"/>
          <w:sz w:val="20"/>
          <w:szCs w:val="20"/>
        </w:rPr>
      </w:pPr>
    </w:p>
    <w:p w:rsidR="00B9202E" w:rsidRDefault="00B9202E" w:rsidP="00B9202E">
      <w:pPr>
        <w:jc w:val="both"/>
        <w:rPr>
          <w:rFonts w:ascii="Arial" w:hAnsi="Arial" w:cs="Arial"/>
          <w:color w:val="000361"/>
          <w:sz w:val="20"/>
          <w:szCs w:val="20"/>
        </w:rPr>
      </w:pPr>
      <w:r>
        <w:rPr>
          <w:rFonts w:ascii="Arial" w:hAnsi="Arial" w:cs="Arial"/>
          <w:color w:val="000361"/>
          <w:sz w:val="20"/>
          <w:szCs w:val="20"/>
        </w:rPr>
        <w:t xml:space="preserve">En l’anàlisi sectorial es contrasta els resultats econòmics i financers de Laboratoris Hipra amb altres  5 empreses competidores i la mitjana calculada a partir del conjunt d’aquestes 6 empreses. La comparativa es realitzarà amb els principals indicadors i ràtios econòmiques i financeres. Per estandarditzar aquest anàlisi la moneda utilitzada serà el dòlar de tal manera que s’han transformat les xifres de les empreses europees (Virbac i Hipra) tenint en compte el tipus de canvi mitjà €/$ de cada un dels exercicis. A </w:t>
      </w:r>
      <w:r w:rsidRPr="00C32830">
        <w:rPr>
          <w:rFonts w:ascii="Arial" w:hAnsi="Arial" w:cs="Arial"/>
          <w:color w:val="000361"/>
          <w:sz w:val="20"/>
          <w:szCs w:val="20"/>
          <w:u w:val="single"/>
        </w:rPr>
        <w:t xml:space="preserve">l’annex </w:t>
      </w:r>
      <w:r>
        <w:rPr>
          <w:rFonts w:ascii="Arial" w:hAnsi="Arial" w:cs="Arial"/>
          <w:color w:val="000361"/>
          <w:sz w:val="20"/>
          <w:szCs w:val="20"/>
          <w:u w:val="single"/>
        </w:rPr>
        <w:t>1.</w:t>
      </w:r>
      <w:r w:rsidRPr="00C32830">
        <w:rPr>
          <w:rFonts w:ascii="Arial" w:hAnsi="Arial" w:cs="Arial"/>
          <w:color w:val="000361"/>
          <w:sz w:val="20"/>
          <w:szCs w:val="20"/>
          <w:u w:val="single"/>
        </w:rPr>
        <w:t>4</w:t>
      </w:r>
      <w:r>
        <w:rPr>
          <w:rFonts w:ascii="Arial" w:hAnsi="Arial" w:cs="Arial"/>
          <w:color w:val="000361"/>
          <w:sz w:val="20"/>
          <w:szCs w:val="20"/>
        </w:rPr>
        <w:t xml:space="preserve"> es pot veure una taula amb els tipus de canvi utilitzats.</w:t>
      </w:r>
    </w:p>
    <w:p w:rsidR="00B9202E" w:rsidRDefault="00B9202E" w:rsidP="00B9202E">
      <w:pPr>
        <w:jc w:val="both"/>
        <w:rPr>
          <w:rFonts w:ascii="Arial" w:hAnsi="Arial" w:cs="Arial"/>
          <w:color w:val="000361"/>
          <w:sz w:val="20"/>
          <w:szCs w:val="20"/>
        </w:rPr>
      </w:pPr>
    </w:p>
    <w:p w:rsidR="00B9202E" w:rsidRDefault="00B9202E" w:rsidP="002D48FA">
      <w:pPr>
        <w:jc w:val="both"/>
        <w:rPr>
          <w:rFonts w:ascii="Arial" w:hAnsi="Arial" w:cs="Arial"/>
          <w:color w:val="000361"/>
          <w:sz w:val="20"/>
          <w:szCs w:val="20"/>
        </w:rPr>
      </w:pPr>
      <w:r>
        <w:rPr>
          <w:rFonts w:ascii="Arial" w:hAnsi="Arial" w:cs="Arial"/>
          <w:color w:val="000361"/>
          <w:sz w:val="20"/>
          <w:szCs w:val="20"/>
        </w:rPr>
        <w:t xml:space="preserve">S’han elaborat taules amb les dades financeres de cadascuna de les empreses competidores per fer aquest anàlisi. Aquestes taules es poden consultar a </w:t>
      </w:r>
      <w:r w:rsidRPr="00C32830">
        <w:rPr>
          <w:rFonts w:ascii="Arial" w:hAnsi="Arial" w:cs="Arial"/>
          <w:color w:val="000361"/>
          <w:sz w:val="20"/>
          <w:szCs w:val="20"/>
          <w:u w:val="single"/>
        </w:rPr>
        <w:t xml:space="preserve">l’annex </w:t>
      </w:r>
      <w:r>
        <w:rPr>
          <w:rFonts w:ascii="Arial" w:hAnsi="Arial" w:cs="Arial"/>
          <w:color w:val="000361"/>
          <w:sz w:val="20"/>
          <w:szCs w:val="20"/>
          <w:u w:val="single"/>
        </w:rPr>
        <w:t>apartat 2</w:t>
      </w:r>
      <w:r>
        <w:rPr>
          <w:rFonts w:ascii="Arial" w:hAnsi="Arial" w:cs="Arial"/>
          <w:color w:val="000361"/>
          <w:sz w:val="20"/>
          <w:szCs w:val="20"/>
        </w:rPr>
        <w:t>.</w:t>
      </w:r>
    </w:p>
    <w:p w:rsidR="00B9202E" w:rsidRPr="00DD67A6" w:rsidRDefault="00B9202E" w:rsidP="002D48FA">
      <w:pPr>
        <w:jc w:val="both"/>
        <w:rPr>
          <w:rFonts w:ascii="Arial" w:hAnsi="Arial" w:cs="Arial"/>
          <w:color w:val="000361"/>
          <w:sz w:val="20"/>
          <w:szCs w:val="20"/>
        </w:rPr>
      </w:pPr>
    </w:p>
    <w:p w:rsidR="00CE05E4" w:rsidRDefault="00CE05E4" w:rsidP="002D48FA">
      <w:pPr>
        <w:jc w:val="both"/>
        <w:rPr>
          <w:rFonts w:ascii="Arial" w:hAnsi="Arial" w:cs="Arial"/>
          <w:color w:val="000361"/>
          <w:sz w:val="20"/>
          <w:szCs w:val="20"/>
        </w:rPr>
      </w:pPr>
      <w:bookmarkStart w:id="3" w:name="OLE_LINK2"/>
      <w:r w:rsidRPr="00CE05E4">
        <w:rPr>
          <w:rFonts w:ascii="Arial" w:hAnsi="Arial" w:cs="Arial"/>
          <w:color w:val="002060"/>
          <w:sz w:val="20"/>
          <w:szCs w:val="20"/>
        </w:rPr>
        <w:t xml:space="preserve">3.4.2. Estructura </w:t>
      </w:r>
      <w:r>
        <w:rPr>
          <w:rFonts w:ascii="Arial" w:hAnsi="Arial" w:cs="Arial"/>
          <w:color w:val="002060"/>
          <w:sz w:val="20"/>
          <w:szCs w:val="20"/>
        </w:rPr>
        <w:t>econòmica i financera</w:t>
      </w:r>
      <w:r w:rsidRPr="00CE05E4">
        <w:rPr>
          <w:rFonts w:ascii="Arial" w:hAnsi="Arial" w:cs="Arial"/>
          <w:color w:val="002060"/>
          <w:sz w:val="20"/>
          <w:szCs w:val="20"/>
        </w:rPr>
        <w:t xml:space="preserve"> sectorial</w:t>
      </w:r>
    </w:p>
    <w:p w:rsidR="001F18B3" w:rsidRDefault="001F18B3" w:rsidP="002D48FA">
      <w:pPr>
        <w:jc w:val="both"/>
        <w:rPr>
          <w:rFonts w:ascii="Arial" w:hAnsi="Arial" w:cs="Arial"/>
          <w:color w:val="000361"/>
          <w:sz w:val="20"/>
          <w:szCs w:val="20"/>
        </w:rPr>
      </w:pPr>
    </w:p>
    <w:p w:rsidR="001F18B3" w:rsidRDefault="001F18B3" w:rsidP="002D48FA">
      <w:pPr>
        <w:jc w:val="both"/>
        <w:rPr>
          <w:rFonts w:ascii="Arial" w:hAnsi="Arial" w:cs="Arial"/>
          <w:color w:val="000361"/>
          <w:sz w:val="20"/>
          <w:szCs w:val="20"/>
        </w:rPr>
      </w:pPr>
      <w:r>
        <w:rPr>
          <w:rFonts w:ascii="Arial" w:hAnsi="Arial" w:cs="Arial"/>
          <w:color w:val="000361"/>
          <w:sz w:val="20"/>
          <w:szCs w:val="20"/>
        </w:rPr>
        <w:t>L’estructura econòmica del sector indica un pes important dels actius no corrents, per damunt del 50% en les empreses Zoetis, Idexx i sobretot Virbac</w:t>
      </w:r>
      <w:r w:rsidR="00C36056">
        <w:rPr>
          <w:rFonts w:ascii="Arial" w:hAnsi="Arial" w:cs="Arial"/>
          <w:color w:val="000361"/>
          <w:sz w:val="20"/>
          <w:szCs w:val="20"/>
        </w:rPr>
        <w:t>. La tendència del sector indica que evoluciona cap a una major participació dels actius no corrents respecte l’actiu circulant. Laboratoris Hipra en aquest sentit, dibuixa un patró molt similar a Zoetis i Idexx mentre Neogen i Phibro a diferència dels altres competidors mantenen un actiu corrent per damunt de l’actiu fix amb una ponderació de (60:40) fet que podria indicar que la seva activitat comercial és més intensa que la industrial.</w:t>
      </w:r>
    </w:p>
    <w:p w:rsidR="00C36056" w:rsidRDefault="00C36056" w:rsidP="002D48FA">
      <w:pPr>
        <w:jc w:val="both"/>
        <w:rPr>
          <w:rFonts w:ascii="Arial" w:hAnsi="Arial" w:cs="Arial"/>
          <w:color w:val="000361"/>
          <w:sz w:val="20"/>
          <w:szCs w:val="20"/>
        </w:rPr>
      </w:pPr>
    </w:p>
    <w:p w:rsidR="001F18B3" w:rsidRDefault="00C36056" w:rsidP="002D48FA">
      <w:pPr>
        <w:jc w:val="both"/>
        <w:rPr>
          <w:rFonts w:ascii="Arial" w:hAnsi="Arial" w:cs="Arial"/>
          <w:color w:val="000361"/>
          <w:sz w:val="20"/>
          <w:szCs w:val="20"/>
        </w:rPr>
      </w:pPr>
      <w:r>
        <w:rPr>
          <w:rFonts w:ascii="Arial" w:hAnsi="Arial" w:cs="Arial"/>
          <w:color w:val="000361"/>
          <w:sz w:val="20"/>
          <w:szCs w:val="20"/>
        </w:rPr>
        <w:t>L’estruct</w:t>
      </w:r>
      <w:r w:rsidR="006A0329">
        <w:rPr>
          <w:rFonts w:ascii="Arial" w:hAnsi="Arial" w:cs="Arial"/>
          <w:color w:val="000361"/>
          <w:sz w:val="20"/>
          <w:szCs w:val="20"/>
        </w:rPr>
        <w:t xml:space="preserve">ura financera sectorial mostra Neogen i Hipra  com empreses altament capitalitzades, el seu patrimoni net obté percentatges superiors al 75% del passiu, i el finançament aliè és insignificant </w:t>
      </w:r>
      <w:r w:rsidR="007F68AA">
        <w:rPr>
          <w:rFonts w:ascii="Arial" w:hAnsi="Arial" w:cs="Arial"/>
          <w:color w:val="000361"/>
          <w:sz w:val="20"/>
          <w:szCs w:val="20"/>
        </w:rPr>
        <w:t>en el cas de Neogen, mentre que Hipra l’utilitza principalment a curt termini representant un 20% aproximadament del Passiu.</w:t>
      </w:r>
      <w:r w:rsidR="002029ED">
        <w:rPr>
          <w:rFonts w:ascii="Arial" w:hAnsi="Arial" w:cs="Arial"/>
          <w:color w:val="000361"/>
          <w:sz w:val="20"/>
          <w:szCs w:val="20"/>
        </w:rPr>
        <w:t xml:space="preserve"> Les empreses Phibro, Virbac i Zoetis disposen en un 80% aproximadament del passiu de recursos financers a llarg termini però la seva composició és diferent que Neogen i Hipra perquè una bona part d’aquests recursos provenen d’endeutament a llarg termini fet que permet donar una major rendibilitat als inversors. Al seu torn, Idexx en tots els exercicis menys el 2019 obté valors negatius de patrimoni net perquè l’endeutament de l’empresa supera el valor de l’actiu.</w:t>
      </w:r>
    </w:p>
    <w:p w:rsidR="002029ED" w:rsidRDefault="002029ED" w:rsidP="002D48FA">
      <w:pPr>
        <w:jc w:val="both"/>
        <w:rPr>
          <w:rFonts w:ascii="Arial" w:hAnsi="Arial" w:cs="Arial"/>
          <w:color w:val="000361"/>
          <w:sz w:val="20"/>
          <w:szCs w:val="20"/>
        </w:rPr>
      </w:pPr>
    </w:p>
    <w:p w:rsidR="001F18B3" w:rsidRDefault="00212941" w:rsidP="002D48FA">
      <w:pPr>
        <w:jc w:val="both"/>
        <w:rPr>
          <w:rFonts w:ascii="Arial" w:hAnsi="Arial" w:cs="Arial"/>
          <w:color w:val="000361"/>
          <w:sz w:val="20"/>
          <w:szCs w:val="20"/>
        </w:rPr>
      </w:pPr>
      <w:r>
        <w:rPr>
          <w:rFonts w:ascii="Arial" w:hAnsi="Arial" w:cs="Arial"/>
          <w:color w:val="000361"/>
          <w:sz w:val="20"/>
          <w:szCs w:val="20"/>
        </w:rPr>
        <w:t>Respecte el fons de maniobra sectorial generalment els actius corrents són molt superiors al passius corrents, només Idexx i Virbac actius corrents equiparables als passius corrents, fet que origina uns valors de la ràtio de fons de maniobra propers a “1”.</w:t>
      </w:r>
    </w:p>
    <w:p w:rsidR="00CE05E4" w:rsidRDefault="00CE05E4" w:rsidP="002D48FA">
      <w:pPr>
        <w:jc w:val="both"/>
        <w:rPr>
          <w:rFonts w:ascii="Arial" w:hAnsi="Arial" w:cs="Arial"/>
          <w:color w:val="000361"/>
          <w:sz w:val="20"/>
          <w:szCs w:val="20"/>
        </w:rPr>
      </w:pPr>
      <w:r>
        <w:rPr>
          <w:rFonts w:ascii="Arial" w:hAnsi="Arial" w:cs="Arial"/>
          <w:color w:val="000361"/>
          <w:sz w:val="20"/>
          <w:szCs w:val="20"/>
        </w:rPr>
        <w:br w:type="page"/>
      </w:r>
    </w:p>
    <w:p w:rsidR="00CE05E4" w:rsidRDefault="00CE05E4" w:rsidP="002D48FA">
      <w:pPr>
        <w:jc w:val="both"/>
        <w:rPr>
          <w:rFonts w:ascii="Arial" w:hAnsi="Arial" w:cs="Arial"/>
          <w:color w:val="000361"/>
          <w:sz w:val="20"/>
          <w:szCs w:val="20"/>
        </w:rPr>
        <w:sectPr w:rsidR="00CE05E4" w:rsidSect="00CE05E4">
          <w:pgSz w:w="11901" w:h="16817"/>
          <w:pgMar w:top="1440" w:right="1440" w:bottom="1440" w:left="1440" w:header="709" w:footer="709" w:gutter="0"/>
          <w:cols w:space="708"/>
          <w:docGrid w:linePitch="360"/>
        </w:sectPr>
      </w:pPr>
    </w:p>
    <w:p w:rsidR="00CE05E4" w:rsidRPr="00CE05E4" w:rsidRDefault="00CE05E4" w:rsidP="002D48FA">
      <w:pPr>
        <w:jc w:val="both"/>
        <w:rPr>
          <w:rFonts w:ascii="Arial" w:hAnsi="Arial" w:cs="Arial"/>
          <w:color w:val="002060"/>
          <w:sz w:val="20"/>
          <w:szCs w:val="20"/>
        </w:rPr>
      </w:pPr>
      <w:r w:rsidRPr="00CE05E4">
        <w:rPr>
          <w:rFonts w:ascii="Arial" w:hAnsi="Arial" w:cs="Arial"/>
          <w:color w:val="002060"/>
          <w:sz w:val="20"/>
          <w:szCs w:val="20"/>
        </w:rPr>
        <w:lastRenderedPageBreak/>
        <w:t>Gràfic 3.3 Anàlisi vertical de l’estructura econòmica i financera sectorial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200"/>
        <w:gridCol w:w="2200"/>
        <w:gridCol w:w="2220"/>
        <w:gridCol w:w="2180"/>
        <w:gridCol w:w="2180"/>
        <w:gridCol w:w="2143"/>
      </w:tblGrid>
      <w:tr w:rsidR="00CE05E4" w:rsidTr="00CE05E4">
        <w:tc>
          <w:tcPr>
            <w:tcW w:w="2200" w:type="dxa"/>
          </w:tcPr>
          <w:p w:rsidR="00CE05E4" w:rsidRDefault="00CE05E4" w:rsidP="002D48FA">
            <w:pPr>
              <w:jc w:val="both"/>
              <w:rPr>
                <w:rFonts w:ascii="Arial" w:hAnsi="Arial" w:cs="Arial"/>
                <w:color w:val="000361"/>
                <w:sz w:val="20"/>
                <w:szCs w:val="20"/>
              </w:rPr>
            </w:pPr>
            <w:r>
              <w:rPr>
                <w:noProof/>
              </w:rPr>
              <w:drawing>
                <wp:inline distT="0" distB="0" distL="0" distR="0" wp14:anchorId="42DFC3A4" wp14:editId="3617BF3A">
                  <wp:extent cx="1291590" cy="2113722"/>
                  <wp:effectExtent l="0" t="0" r="3810" b="0"/>
                  <wp:docPr id="24" name="Gráfico 2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2200" w:type="dxa"/>
          </w:tcPr>
          <w:p w:rsidR="00CE05E4" w:rsidRDefault="00CE05E4" w:rsidP="002D48FA">
            <w:pPr>
              <w:jc w:val="both"/>
              <w:rPr>
                <w:rFonts w:ascii="Arial" w:hAnsi="Arial" w:cs="Arial"/>
                <w:color w:val="000361"/>
                <w:sz w:val="20"/>
                <w:szCs w:val="20"/>
              </w:rPr>
            </w:pPr>
            <w:r>
              <w:rPr>
                <w:noProof/>
              </w:rPr>
              <w:drawing>
                <wp:inline distT="0" distB="0" distL="0" distR="0" wp14:anchorId="6480D86F" wp14:editId="08CC7EA9">
                  <wp:extent cx="1291590" cy="2113280"/>
                  <wp:effectExtent l="0" t="0" r="3810" b="0"/>
                  <wp:docPr id="31" name="Gráfico 3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2220" w:type="dxa"/>
          </w:tcPr>
          <w:p w:rsidR="00CE05E4" w:rsidRDefault="00CE05E4" w:rsidP="002D48FA">
            <w:pPr>
              <w:jc w:val="both"/>
              <w:rPr>
                <w:rFonts w:ascii="Arial" w:hAnsi="Arial" w:cs="Arial"/>
                <w:color w:val="000361"/>
                <w:sz w:val="20"/>
                <w:szCs w:val="20"/>
              </w:rPr>
            </w:pPr>
            <w:r>
              <w:rPr>
                <w:noProof/>
              </w:rPr>
              <w:drawing>
                <wp:inline distT="0" distB="0" distL="0" distR="0" wp14:anchorId="65422E2D" wp14:editId="0D90C0DB">
                  <wp:extent cx="1304925" cy="2113280"/>
                  <wp:effectExtent l="0" t="0" r="3175" b="0"/>
                  <wp:docPr id="36" name="Gráfico 3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2180" w:type="dxa"/>
          </w:tcPr>
          <w:p w:rsidR="00CE05E4" w:rsidRDefault="00CE05E4" w:rsidP="002D48FA">
            <w:pPr>
              <w:jc w:val="both"/>
              <w:rPr>
                <w:rFonts w:ascii="Arial" w:hAnsi="Arial" w:cs="Arial"/>
                <w:color w:val="000361"/>
                <w:sz w:val="20"/>
                <w:szCs w:val="20"/>
              </w:rPr>
            </w:pPr>
            <w:r>
              <w:rPr>
                <w:noProof/>
              </w:rPr>
              <w:drawing>
                <wp:inline distT="0" distB="0" distL="0" distR="0" wp14:anchorId="405147AF" wp14:editId="3DBB8CEF">
                  <wp:extent cx="1285461" cy="2113280"/>
                  <wp:effectExtent l="0" t="0" r="0" b="0"/>
                  <wp:docPr id="39" name="Gráfico 3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2180" w:type="dxa"/>
          </w:tcPr>
          <w:p w:rsidR="00CE05E4" w:rsidRDefault="00CE05E4" w:rsidP="002D48FA">
            <w:pPr>
              <w:jc w:val="both"/>
              <w:rPr>
                <w:rFonts w:ascii="Arial" w:hAnsi="Arial" w:cs="Arial"/>
                <w:color w:val="000361"/>
                <w:sz w:val="20"/>
                <w:szCs w:val="20"/>
              </w:rPr>
            </w:pPr>
            <w:r>
              <w:rPr>
                <w:noProof/>
              </w:rPr>
              <w:drawing>
                <wp:inline distT="0" distB="0" distL="0" distR="0" wp14:anchorId="649B64A4" wp14:editId="5BBB54E2">
                  <wp:extent cx="1285461" cy="2113280"/>
                  <wp:effectExtent l="0" t="0" r="0" b="0"/>
                  <wp:docPr id="41" name="Gráfico 4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2056" w:type="dxa"/>
          </w:tcPr>
          <w:p w:rsidR="00CE05E4" w:rsidRDefault="00CE05E4" w:rsidP="002D48FA">
            <w:pPr>
              <w:jc w:val="both"/>
              <w:rPr>
                <w:rFonts w:ascii="Arial" w:hAnsi="Arial" w:cs="Arial"/>
                <w:color w:val="000361"/>
                <w:sz w:val="20"/>
                <w:szCs w:val="20"/>
              </w:rPr>
            </w:pPr>
            <w:r>
              <w:rPr>
                <w:noProof/>
              </w:rPr>
              <w:drawing>
                <wp:inline distT="0" distB="0" distL="0" distR="0" wp14:anchorId="7EDD68DB" wp14:editId="71A47D4F">
                  <wp:extent cx="1272209" cy="2113280"/>
                  <wp:effectExtent l="0" t="0" r="0" b="0"/>
                  <wp:docPr id="43" name="Gráfico 43">
                    <a:extLst xmlns:a="http://schemas.openxmlformats.org/drawingml/2006/main">
                      <a:ext uri="{FF2B5EF4-FFF2-40B4-BE49-F238E27FC236}">
                        <a16:creationId xmlns:a16="http://schemas.microsoft.com/office/drawing/2014/main" id="{B883DAE0-2141-D744-BEA2-78710D5B00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rsidR="00CE05E4" w:rsidRDefault="00CE05E4" w:rsidP="002D48FA">
      <w:pPr>
        <w:jc w:val="both"/>
        <w:rPr>
          <w:rFonts w:ascii="Arial" w:hAnsi="Arial" w:cs="Arial"/>
          <w:color w:val="000361"/>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2200"/>
        <w:gridCol w:w="2200"/>
        <w:gridCol w:w="2216"/>
        <w:gridCol w:w="2184"/>
        <w:gridCol w:w="2184"/>
        <w:gridCol w:w="2194"/>
      </w:tblGrid>
      <w:tr w:rsidR="00CE05E4" w:rsidRPr="00CE05E4" w:rsidTr="00CE05E4">
        <w:tc>
          <w:tcPr>
            <w:tcW w:w="2200" w:type="dxa"/>
          </w:tcPr>
          <w:p w:rsidR="00CE05E4" w:rsidRPr="00CE05E4" w:rsidRDefault="00CE05E4" w:rsidP="002D48FA">
            <w:pPr>
              <w:jc w:val="both"/>
              <w:rPr>
                <w:rFonts w:ascii="Arial" w:hAnsi="Arial" w:cs="Arial"/>
                <w:color w:val="002060"/>
                <w:sz w:val="20"/>
                <w:szCs w:val="20"/>
              </w:rPr>
            </w:pPr>
            <w:r w:rsidRPr="00CE05E4">
              <w:rPr>
                <w:rFonts w:ascii="Arial" w:hAnsi="Arial" w:cs="Arial"/>
                <w:noProof/>
                <w:color w:val="002060"/>
                <w:sz w:val="20"/>
                <w:szCs w:val="20"/>
              </w:rPr>
              <w:drawing>
                <wp:inline distT="0" distB="0" distL="0" distR="0" wp14:anchorId="4B199DC2" wp14:editId="3680692A">
                  <wp:extent cx="1291590" cy="2358887"/>
                  <wp:effectExtent l="0" t="0" r="3810" b="3810"/>
                  <wp:docPr id="30" name="Gráfico 30">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2200" w:type="dxa"/>
          </w:tcPr>
          <w:p w:rsidR="00CE05E4" w:rsidRPr="00CE05E4" w:rsidRDefault="00CE05E4" w:rsidP="002D48FA">
            <w:pPr>
              <w:jc w:val="both"/>
              <w:rPr>
                <w:rFonts w:ascii="Arial" w:hAnsi="Arial" w:cs="Arial"/>
                <w:color w:val="002060"/>
                <w:sz w:val="20"/>
                <w:szCs w:val="20"/>
              </w:rPr>
            </w:pPr>
            <w:r w:rsidRPr="00CE05E4">
              <w:rPr>
                <w:rFonts w:ascii="Arial" w:hAnsi="Arial" w:cs="Arial"/>
                <w:noProof/>
                <w:color w:val="002060"/>
                <w:sz w:val="20"/>
                <w:szCs w:val="20"/>
              </w:rPr>
              <w:drawing>
                <wp:inline distT="0" distB="0" distL="0" distR="0" wp14:anchorId="322E36F0" wp14:editId="09077071">
                  <wp:extent cx="1291590" cy="2358390"/>
                  <wp:effectExtent l="0" t="0" r="3810" b="3810"/>
                  <wp:docPr id="35" name="Gráfico 35">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2216" w:type="dxa"/>
          </w:tcPr>
          <w:p w:rsidR="00CE05E4" w:rsidRPr="00CE05E4" w:rsidRDefault="00CE05E4" w:rsidP="002D48FA">
            <w:pPr>
              <w:jc w:val="both"/>
              <w:rPr>
                <w:rFonts w:ascii="Arial" w:hAnsi="Arial" w:cs="Arial"/>
                <w:color w:val="002060"/>
                <w:sz w:val="20"/>
                <w:szCs w:val="20"/>
              </w:rPr>
            </w:pPr>
            <w:r w:rsidRPr="00CE05E4">
              <w:rPr>
                <w:rFonts w:ascii="Arial" w:hAnsi="Arial" w:cs="Arial"/>
                <w:noProof/>
                <w:color w:val="002060"/>
                <w:sz w:val="20"/>
                <w:szCs w:val="20"/>
              </w:rPr>
              <w:drawing>
                <wp:inline distT="0" distB="0" distL="0" distR="0" wp14:anchorId="7906B530" wp14:editId="73F162FB">
                  <wp:extent cx="1304925" cy="2358390"/>
                  <wp:effectExtent l="0" t="0" r="3175" b="3810"/>
                  <wp:docPr id="37" name="Gráfico 37">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2184" w:type="dxa"/>
          </w:tcPr>
          <w:p w:rsidR="00CE05E4" w:rsidRPr="00CE05E4" w:rsidRDefault="00CE05E4" w:rsidP="002D48FA">
            <w:pPr>
              <w:jc w:val="both"/>
              <w:rPr>
                <w:rFonts w:ascii="Arial" w:hAnsi="Arial" w:cs="Arial"/>
                <w:color w:val="002060"/>
                <w:sz w:val="20"/>
                <w:szCs w:val="20"/>
              </w:rPr>
            </w:pPr>
            <w:r w:rsidRPr="00CE05E4">
              <w:rPr>
                <w:rFonts w:ascii="Arial" w:hAnsi="Arial" w:cs="Arial"/>
                <w:noProof/>
                <w:color w:val="002060"/>
                <w:sz w:val="20"/>
                <w:szCs w:val="20"/>
              </w:rPr>
              <w:drawing>
                <wp:inline distT="0" distB="0" distL="0" distR="0" wp14:anchorId="04473042" wp14:editId="359C01B2">
                  <wp:extent cx="1285240" cy="2358390"/>
                  <wp:effectExtent l="0" t="0" r="0" b="3810"/>
                  <wp:docPr id="40" name="Gráfico 40">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2184" w:type="dxa"/>
          </w:tcPr>
          <w:p w:rsidR="00CE05E4" w:rsidRPr="00CE05E4" w:rsidRDefault="00CE05E4" w:rsidP="002D48FA">
            <w:pPr>
              <w:jc w:val="both"/>
              <w:rPr>
                <w:rFonts w:ascii="Arial" w:hAnsi="Arial" w:cs="Arial"/>
                <w:color w:val="002060"/>
                <w:sz w:val="20"/>
                <w:szCs w:val="20"/>
              </w:rPr>
            </w:pPr>
            <w:r w:rsidRPr="00CE05E4">
              <w:rPr>
                <w:rFonts w:ascii="Arial" w:hAnsi="Arial" w:cs="Arial"/>
                <w:noProof/>
                <w:color w:val="002060"/>
                <w:sz w:val="20"/>
                <w:szCs w:val="20"/>
              </w:rPr>
              <w:drawing>
                <wp:inline distT="0" distB="0" distL="0" distR="0" wp14:anchorId="62CE71D1" wp14:editId="24389D3C">
                  <wp:extent cx="1285240" cy="2358390"/>
                  <wp:effectExtent l="0" t="0" r="0" b="3810"/>
                  <wp:docPr id="42" name="Gráfico 42">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2194" w:type="dxa"/>
          </w:tcPr>
          <w:p w:rsidR="00CE05E4" w:rsidRPr="00CE05E4" w:rsidRDefault="00CE05E4" w:rsidP="002D48FA">
            <w:pPr>
              <w:jc w:val="both"/>
              <w:rPr>
                <w:rFonts w:ascii="Arial" w:hAnsi="Arial" w:cs="Arial"/>
                <w:color w:val="002060"/>
                <w:sz w:val="20"/>
                <w:szCs w:val="20"/>
              </w:rPr>
            </w:pPr>
            <w:r w:rsidRPr="00CE05E4">
              <w:rPr>
                <w:rFonts w:ascii="Arial" w:hAnsi="Arial" w:cs="Arial"/>
                <w:noProof/>
                <w:color w:val="002060"/>
                <w:sz w:val="20"/>
                <w:szCs w:val="20"/>
              </w:rPr>
              <w:drawing>
                <wp:inline distT="0" distB="0" distL="0" distR="0" wp14:anchorId="4296BE94" wp14:editId="6127E77C">
                  <wp:extent cx="1298575" cy="2358390"/>
                  <wp:effectExtent l="0" t="0" r="0" b="3810"/>
                  <wp:docPr id="44" name="Gráfico 44">
                    <a:extLst xmlns:a="http://schemas.openxmlformats.org/drawingml/2006/main">
                      <a:ext uri="{FF2B5EF4-FFF2-40B4-BE49-F238E27FC236}">
                        <a16:creationId xmlns:a16="http://schemas.microsoft.com/office/drawing/2014/main" id="{F843653F-B34A-1649-A2E5-88A73E162C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bl>
    <w:p w:rsidR="00CE05E4" w:rsidRPr="00CE05E4" w:rsidRDefault="00CE05E4" w:rsidP="002D48FA">
      <w:pPr>
        <w:jc w:val="both"/>
        <w:rPr>
          <w:rFonts w:ascii="Arial" w:hAnsi="Arial" w:cs="Arial"/>
          <w:color w:val="000361"/>
          <w:sz w:val="14"/>
          <w:szCs w:val="14"/>
        </w:rPr>
      </w:pPr>
      <w:r w:rsidRPr="00CE05E4">
        <w:rPr>
          <w:rFonts w:ascii="Arial" w:hAnsi="Arial" w:cs="Arial"/>
          <w:color w:val="000361"/>
          <w:sz w:val="14"/>
          <w:szCs w:val="14"/>
        </w:rPr>
        <w:t>Font: Elaboració pròpia a partir dels comptes anuals de les empreses del sector pels exercicis 2019-2015</w:t>
      </w:r>
      <w:r w:rsidR="004F6482">
        <w:rPr>
          <w:rFonts w:ascii="Arial" w:hAnsi="Arial" w:cs="Arial"/>
          <w:color w:val="000361"/>
          <w:sz w:val="14"/>
          <w:szCs w:val="14"/>
        </w:rPr>
        <w:t>. Inclòs a l’annex 3.2.</w:t>
      </w:r>
      <w:r w:rsidRPr="00CE05E4">
        <w:rPr>
          <w:rFonts w:ascii="Arial" w:hAnsi="Arial" w:cs="Arial"/>
          <w:color w:val="000361"/>
          <w:sz w:val="14"/>
          <w:szCs w:val="14"/>
        </w:rPr>
        <w:br w:type="page"/>
      </w:r>
    </w:p>
    <w:p w:rsidR="00CE05E4" w:rsidRDefault="00CE05E4" w:rsidP="002D48FA">
      <w:pPr>
        <w:jc w:val="both"/>
        <w:rPr>
          <w:rFonts w:ascii="Arial" w:hAnsi="Arial" w:cs="Arial"/>
          <w:color w:val="000361"/>
          <w:sz w:val="20"/>
          <w:szCs w:val="20"/>
        </w:rPr>
        <w:sectPr w:rsidR="00CE05E4" w:rsidSect="00CE05E4">
          <w:pgSz w:w="16817" w:h="11901" w:orient="landscape"/>
          <w:pgMar w:top="1440" w:right="1440" w:bottom="1440" w:left="1440" w:header="709" w:footer="709" w:gutter="0"/>
          <w:cols w:space="708"/>
          <w:docGrid w:linePitch="360"/>
        </w:sectPr>
      </w:pPr>
    </w:p>
    <w:p w:rsidR="00AB387A" w:rsidRDefault="00AB387A" w:rsidP="002D48FA">
      <w:pPr>
        <w:jc w:val="both"/>
        <w:rPr>
          <w:rFonts w:ascii="Arial" w:hAnsi="Arial" w:cs="Arial"/>
          <w:color w:val="000361"/>
          <w:sz w:val="20"/>
          <w:szCs w:val="20"/>
        </w:rPr>
      </w:pPr>
      <w:r w:rsidRPr="00DD67A6">
        <w:rPr>
          <w:rFonts w:ascii="Arial" w:hAnsi="Arial" w:cs="Arial"/>
          <w:color w:val="000361"/>
          <w:sz w:val="20"/>
          <w:szCs w:val="20"/>
        </w:rPr>
        <w:lastRenderedPageBreak/>
        <w:t>3.</w:t>
      </w:r>
      <w:r w:rsidR="00775233">
        <w:rPr>
          <w:rFonts w:ascii="Arial" w:hAnsi="Arial" w:cs="Arial"/>
          <w:color w:val="000361"/>
          <w:sz w:val="20"/>
          <w:szCs w:val="20"/>
        </w:rPr>
        <w:t>4</w:t>
      </w:r>
      <w:r w:rsidRPr="00DD67A6">
        <w:rPr>
          <w:rFonts w:ascii="Arial" w:hAnsi="Arial" w:cs="Arial"/>
          <w:color w:val="000361"/>
          <w:sz w:val="20"/>
          <w:szCs w:val="20"/>
        </w:rPr>
        <w:t>.</w:t>
      </w:r>
      <w:r w:rsidR="00693617">
        <w:rPr>
          <w:rFonts w:ascii="Arial" w:hAnsi="Arial" w:cs="Arial"/>
          <w:color w:val="000361"/>
          <w:sz w:val="20"/>
          <w:szCs w:val="20"/>
        </w:rPr>
        <w:t>3</w:t>
      </w:r>
      <w:r w:rsidRPr="00DD67A6">
        <w:rPr>
          <w:rFonts w:ascii="Arial" w:hAnsi="Arial" w:cs="Arial"/>
          <w:color w:val="000361"/>
          <w:sz w:val="20"/>
          <w:szCs w:val="20"/>
        </w:rPr>
        <w:t>. Ràtios econòmiques i financeres</w:t>
      </w:r>
    </w:p>
    <w:bookmarkEnd w:id="3"/>
    <w:p w:rsidR="00761E29" w:rsidRDefault="00761E29" w:rsidP="002D48FA">
      <w:pPr>
        <w:jc w:val="both"/>
        <w:rPr>
          <w:rFonts w:ascii="Arial" w:hAnsi="Arial" w:cs="Arial"/>
          <w:color w:val="000361"/>
          <w:sz w:val="20"/>
          <w:szCs w:val="20"/>
        </w:rPr>
      </w:pPr>
    </w:p>
    <w:p w:rsidR="00A957C0" w:rsidRDefault="00A957C0" w:rsidP="002D48FA">
      <w:pPr>
        <w:jc w:val="both"/>
        <w:rPr>
          <w:rFonts w:ascii="Arial" w:hAnsi="Arial" w:cs="Arial"/>
          <w:color w:val="000361"/>
          <w:sz w:val="20"/>
          <w:szCs w:val="20"/>
        </w:rPr>
      </w:pPr>
    </w:p>
    <w:p w:rsidR="00A957C0" w:rsidRPr="00A957C0" w:rsidRDefault="00A957C0" w:rsidP="00A957C0">
      <w:pPr>
        <w:pStyle w:val="Prrafodelista"/>
        <w:numPr>
          <w:ilvl w:val="0"/>
          <w:numId w:val="24"/>
        </w:numPr>
        <w:jc w:val="both"/>
        <w:rPr>
          <w:rFonts w:ascii="Arial" w:hAnsi="Arial" w:cs="Arial"/>
          <w:i/>
          <w:color w:val="000361"/>
          <w:sz w:val="20"/>
          <w:szCs w:val="20"/>
        </w:rPr>
      </w:pPr>
      <w:r w:rsidRPr="00A957C0">
        <w:rPr>
          <w:rFonts w:ascii="Arial" w:hAnsi="Arial" w:cs="Arial"/>
          <w:i/>
          <w:color w:val="000361"/>
          <w:sz w:val="20"/>
          <w:szCs w:val="20"/>
        </w:rPr>
        <w:t xml:space="preserve">Volum de negoci: </w:t>
      </w:r>
    </w:p>
    <w:p w:rsidR="00A957C0" w:rsidRDefault="00A957C0" w:rsidP="00A957C0">
      <w:pPr>
        <w:jc w:val="both"/>
        <w:rPr>
          <w:rFonts w:ascii="Arial" w:hAnsi="Arial" w:cs="Arial"/>
          <w:i/>
          <w:color w:val="000361"/>
          <w:sz w:val="20"/>
          <w:szCs w:val="20"/>
        </w:rPr>
      </w:pPr>
    </w:p>
    <w:p w:rsidR="00A957C0" w:rsidRDefault="00A957C0" w:rsidP="00A957C0">
      <w:pPr>
        <w:jc w:val="both"/>
        <w:rPr>
          <w:rFonts w:ascii="Arial" w:hAnsi="Arial" w:cs="Arial"/>
          <w:color w:val="000361"/>
          <w:sz w:val="20"/>
          <w:szCs w:val="20"/>
        </w:rPr>
      </w:pPr>
      <w:r>
        <w:rPr>
          <w:rFonts w:ascii="Arial" w:hAnsi="Arial" w:cs="Arial"/>
          <w:color w:val="000361"/>
          <w:sz w:val="20"/>
          <w:szCs w:val="20"/>
        </w:rPr>
        <w:t>Es representa gràficament el volum de vendes de les empreses seleccionades i la mitjana pels exercicis 2015 al 2019.</w:t>
      </w:r>
    </w:p>
    <w:p w:rsidR="00A957C0" w:rsidRDefault="00A957C0" w:rsidP="00A957C0">
      <w:pPr>
        <w:jc w:val="both"/>
        <w:rPr>
          <w:rFonts w:ascii="Arial" w:hAnsi="Arial" w:cs="Arial"/>
          <w:color w:val="000361"/>
          <w:sz w:val="20"/>
          <w:szCs w:val="20"/>
        </w:rPr>
      </w:pPr>
    </w:p>
    <w:p w:rsidR="002A401E" w:rsidRDefault="002A401E" w:rsidP="00A957C0">
      <w:pPr>
        <w:jc w:val="both"/>
        <w:rPr>
          <w:rFonts w:ascii="Arial" w:hAnsi="Arial" w:cs="Arial"/>
          <w:color w:val="000361"/>
          <w:sz w:val="20"/>
          <w:szCs w:val="20"/>
        </w:rPr>
      </w:pPr>
      <w:r>
        <w:rPr>
          <w:rFonts w:ascii="Arial" w:hAnsi="Arial" w:cs="Arial"/>
          <w:color w:val="000361"/>
          <w:sz w:val="20"/>
          <w:szCs w:val="20"/>
        </w:rPr>
        <w:t>Gràfic 3.</w:t>
      </w:r>
      <w:r w:rsidR="004A3E53">
        <w:rPr>
          <w:rFonts w:ascii="Arial" w:hAnsi="Arial" w:cs="Arial"/>
          <w:color w:val="000361"/>
          <w:sz w:val="20"/>
          <w:szCs w:val="20"/>
        </w:rPr>
        <w:t>4</w:t>
      </w:r>
      <w:r>
        <w:rPr>
          <w:rFonts w:ascii="Arial" w:hAnsi="Arial" w:cs="Arial"/>
          <w:color w:val="000361"/>
          <w:sz w:val="20"/>
          <w:szCs w:val="20"/>
        </w:rPr>
        <w:t xml:space="preserve"> Xifres de negoci sectorials (milions de dòlars)</w:t>
      </w:r>
    </w:p>
    <w:p w:rsidR="002A401E" w:rsidRDefault="002A401E" w:rsidP="00A957C0">
      <w:pPr>
        <w:jc w:val="both"/>
        <w:rPr>
          <w:rFonts w:ascii="Arial" w:hAnsi="Arial" w:cs="Arial"/>
          <w:color w:val="000361"/>
          <w:sz w:val="20"/>
          <w:szCs w:val="20"/>
        </w:rPr>
      </w:pPr>
    </w:p>
    <w:p w:rsidR="00A957C0" w:rsidRPr="00A957C0" w:rsidRDefault="00692809" w:rsidP="00A957C0">
      <w:pPr>
        <w:jc w:val="both"/>
        <w:rPr>
          <w:rFonts w:ascii="Arial" w:hAnsi="Arial" w:cs="Arial"/>
          <w:color w:val="000361"/>
          <w:sz w:val="20"/>
          <w:szCs w:val="20"/>
        </w:rPr>
      </w:pPr>
      <w:r>
        <w:rPr>
          <w:noProof/>
        </w:rPr>
        <w:drawing>
          <wp:inline distT="0" distB="0" distL="0" distR="0" wp14:anchorId="320EC33C" wp14:editId="5C1A2819">
            <wp:extent cx="5586153" cy="2743200"/>
            <wp:effectExtent l="0" t="0" r="1905" b="0"/>
            <wp:docPr id="11" name="Gráfico 11">
              <a:extLst xmlns:a="http://schemas.openxmlformats.org/drawingml/2006/main">
                <a:ext uri="{FF2B5EF4-FFF2-40B4-BE49-F238E27FC236}">
                  <a16:creationId xmlns:a16="http://schemas.microsoft.com/office/drawing/2014/main" id="{773728A1-4996-C549-B65E-CEDD03C838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75233" w:rsidRPr="00692809" w:rsidRDefault="002A401E" w:rsidP="002D48FA">
      <w:pPr>
        <w:jc w:val="both"/>
        <w:rPr>
          <w:rFonts w:ascii="Arial" w:hAnsi="Arial" w:cs="Arial"/>
          <w:color w:val="000361"/>
          <w:sz w:val="16"/>
          <w:szCs w:val="16"/>
        </w:rPr>
      </w:pPr>
      <w:r>
        <w:rPr>
          <w:rFonts w:ascii="Arial" w:hAnsi="Arial" w:cs="Arial"/>
          <w:color w:val="000361"/>
          <w:sz w:val="16"/>
          <w:szCs w:val="16"/>
        </w:rPr>
        <w:t>Font:</w:t>
      </w:r>
      <w:r w:rsidR="00692809">
        <w:rPr>
          <w:rFonts w:ascii="Arial" w:hAnsi="Arial" w:cs="Arial"/>
          <w:color w:val="000361"/>
          <w:sz w:val="16"/>
          <w:szCs w:val="16"/>
        </w:rPr>
        <w:t xml:space="preserve"> </w:t>
      </w:r>
      <w:r>
        <w:rPr>
          <w:rFonts w:ascii="Arial" w:hAnsi="Arial" w:cs="Arial"/>
          <w:color w:val="000361"/>
          <w:sz w:val="16"/>
          <w:szCs w:val="16"/>
        </w:rPr>
        <w:t>Elaboració pròpia</w:t>
      </w:r>
      <w:r w:rsidR="00692809">
        <w:rPr>
          <w:rFonts w:ascii="Arial" w:hAnsi="Arial" w:cs="Arial"/>
          <w:color w:val="000361"/>
          <w:sz w:val="16"/>
          <w:szCs w:val="16"/>
        </w:rPr>
        <w:t xml:space="preserve"> a partir de la taula inclosa al</w:t>
      </w:r>
      <w:r w:rsidR="004F6482">
        <w:rPr>
          <w:rFonts w:ascii="Arial" w:hAnsi="Arial" w:cs="Arial"/>
          <w:color w:val="000361"/>
          <w:sz w:val="16"/>
          <w:szCs w:val="16"/>
        </w:rPr>
        <w:t xml:space="preserve"> l’annex 3.3</w:t>
      </w:r>
      <w:r w:rsidR="00692809">
        <w:rPr>
          <w:rFonts w:ascii="Arial" w:hAnsi="Arial" w:cs="Arial"/>
          <w:color w:val="000361"/>
          <w:sz w:val="16"/>
          <w:szCs w:val="16"/>
        </w:rPr>
        <w:t>.</w:t>
      </w:r>
    </w:p>
    <w:p w:rsidR="00692809" w:rsidRDefault="00692809" w:rsidP="002D48FA">
      <w:pPr>
        <w:jc w:val="both"/>
        <w:rPr>
          <w:rFonts w:ascii="Arial" w:hAnsi="Arial" w:cs="Arial"/>
          <w:color w:val="000361"/>
          <w:sz w:val="20"/>
          <w:szCs w:val="20"/>
        </w:rPr>
      </w:pPr>
    </w:p>
    <w:p w:rsidR="00692809" w:rsidRDefault="00692809" w:rsidP="002D48FA">
      <w:pPr>
        <w:jc w:val="both"/>
        <w:rPr>
          <w:rFonts w:ascii="Arial" w:hAnsi="Arial" w:cs="Arial"/>
          <w:color w:val="000361"/>
          <w:sz w:val="20"/>
          <w:szCs w:val="20"/>
        </w:rPr>
      </w:pPr>
      <w:r>
        <w:rPr>
          <w:rFonts w:ascii="Arial" w:hAnsi="Arial" w:cs="Arial"/>
          <w:color w:val="000361"/>
          <w:sz w:val="20"/>
          <w:szCs w:val="20"/>
        </w:rPr>
        <w:t>S’observa que el lideratge de Zoetis en aquest sector és incontestable des del punt de vista de les vendes. Un sector que tendeix a un major volum de negoci tal i com s’observa en la mitjana i majoritàriament</w:t>
      </w:r>
      <w:r w:rsidR="008D1240">
        <w:rPr>
          <w:rFonts w:ascii="Arial" w:hAnsi="Arial" w:cs="Arial"/>
          <w:color w:val="000361"/>
          <w:sz w:val="20"/>
          <w:szCs w:val="20"/>
        </w:rPr>
        <w:t xml:space="preserve"> augmenta</w:t>
      </w:r>
      <w:r>
        <w:rPr>
          <w:rFonts w:ascii="Arial" w:hAnsi="Arial" w:cs="Arial"/>
          <w:color w:val="000361"/>
          <w:sz w:val="20"/>
          <w:szCs w:val="20"/>
        </w:rPr>
        <w:t xml:space="preserve"> en totes les empreses objecte d’anàlisi.</w:t>
      </w:r>
    </w:p>
    <w:p w:rsidR="004A3045" w:rsidRDefault="004A3045" w:rsidP="002D48FA">
      <w:pPr>
        <w:jc w:val="both"/>
        <w:rPr>
          <w:rFonts w:ascii="Arial" w:hAnsi="Arial" w:cs="Arial"/>
          <w:color w:val="000361"/>
          <w:sz w:val="20"/>
          <w:szCs w:val="20"/>
        </w:rPr>
      </w:pPr>
    </w:p>
    <w:p w:rsidR="00147204" w:rsidRDefault="004A3045" w:rsidP="002D48FA">
      <w:pPr>
        <w:jc w:val="both"/>
        <w:rPr>
          <w:rFonts w:ascii="Arial" w:hAnsi="Arial" w:cs="Arial"/>
          <w:color w:val="000361"/>
          <w:sz w:val="20"/>
          <w:szCs w:val="20"/>
        </w:rPr>
      </w:pPr>
      <w:r>
        <w:rPr>
          <w:rFonts w:ascii="Arial" w:hAnsi="Arial" w:cs="Arial"/>
          <w:color w:val="000361"/>
          <w:sz w:val="20"/>
          <w:szCs w:val="20"/>
        </w:rPr>
        <w:t xml:space="preserve">Aquest gràfic dificulta la visualització de les tendències de les empreses amb vendes més modestes, com és el cas de Laboratoris Hipra perquè es mouen amb valors baixos dins un rang vertical </w:t>
      </w:r>
      <w:r w:rsidR="00DB7929">
        <w:rPr>
          <w:rFonts w:ascii="Arial" w:hAnsi="Arial" w:cs="Arial"/>
          <w:color w:val="000361"/>
          <w:sz w:val="20"/>
          <w:szCs w:val="20"/>
        </w:rPr>
        <w:t>molt</w:t>
      </w:r>
      <w:r>
        <w:rPr>
          <w:rFonts w:ascii="Arial" w:hAnsi="Arial" w:cs="Arial"/>
          <w:color w:val="000361"/>
          <w:sz w:val="20"/>
          <w:szCs w:val="20"/>
        </w:rPr>
        <w:t xml:space="preserve"> ampli</w:t>
      </w:r>
      <w:r w:rsidR="00147204">
        <w:rPr>
          <w:rFonts w:ascii="Arial" w:hAnsi="Arial" w:cs="Arial"/>
          <w:color w:val="000361"/>
          <w:sz w:val="20"/>
          <w:szCs w:val="20"/>
        </w:rPr>
        <w:t xml:space="preserve">. </w:t>
      </w:r>
      <w:r w:rsidR="006012D2">
        <w:rPr>
          <w:rFonts w:ascii="Arial" w:hAnsi="Arial" w:cs="Arial"/>
          <w:color w:val="000361"/>
          <w:sz w:val="20"/>
          <w:szCs w:val="20"/>
        </w:rPr>
        <w:t>Complementàriament</w:t>
      </w:r>
      <w:r w:rsidR="00147204">
        <w:rPr>
          <w:rFonts w:ascii="Arial" w:hAnsi="Arial" w:cs="Arial"/>
          <w:color w:val="000361"/>
          <w:sz w:val="20"/>
          <w:szCs w:val="20"/>
        </w:rPr>
        <w:t xml:space="preserve"> s’adjunta gràficament un anàlisi percentual horitzontal de les variacions de les vendes respecte l’exercici anterior i també un gràfic de la variació dels ingressos per a tot el període (2015 a 2019).</w:t>
      </w:r>
    </w:p>
    <w:p w:rsidR="00147204" w:rsidRDefault="00147204" w:rsidP="002D48FA">
      <w:pPr>
        <w:jc w:val="both"/>
        <w:rPr>
          <w:rFonts w:ascii="Arial" w:hAnsi="Arial" w:cs="Arial"/>
          <w:color w:val="000361"/>
          <w:sz w:val="20"/>
          <w:szCs w:val="20"/>
        </w:rPr>
      </w:pPr>
    </w:p>
    <w:p w:rsidR="002A401E" w:rsidRDefault="00147204" w:rsidP="002A401E">
      <w:pPr>
        <w:rPr>
          <w:rFonts w:ascii="Arial" w:hAnsi="Arial" w:cs="Arial"/>
          <w:color w:val="000361"/>
          <w:sz w:val="20"/>
          <w:szCs w:val="20"/>
        </w:rPr>
      </w:pPr>
      <w:r>
        <w:rPr>
          <w:rFonts w:ascii="Arial" w:hAnsi="Arial" w:cs="Arial"/>
          <w:color w:val="000361"/>
          <w:sz w:val="20"/>
          <w:szCs w:val="20"/>
        </w:rPr>
        <w:t xml:space="preserve"> </w:t>
      </w:r>
      <w:r w:rsidR="002A401E">
        <w:rPr>
          <w:rFonts w:ascii="Arial" w:hAnsi="Arial" w:cs="Arial"/>
          <w:color w:val="000361"/>
          <w:sz w:val="20"/>
          <w:szCs w:val="20"/>
        </w:rPr>
        <w:t>Gràfic 3.</w:t>
      </w:r>
      <w:r w:rsidR="004A3E53">
        <w:rPr>
          <w:rFonts w:ascii="Arial" w:hAnsi="Arial" w:cs="Arial"/>
          <w:color w:val="000361"/>
          <w:sz w:val="20"/>
          <w:szCs w:val="20"/>
        </w:rPr>
        <w:t>5</w:t>
      </w:r>
      <w:r w:rsidR="002A401E">
        <w:rPr>
          <w:rFonts w:ascii="Arial" w:hAnsi="Arial" w:cs="Arial"/>
          <w:color w:val="000361"/>
          <w:sz w:val="20"/>
          <w:szCs w:val="20"/>
        </w:rPr>
        <w:t xml:space="preserve"> Percentatges horitzontals de les vendes sectorials respecte l’any anterior </w:t>
      </w:r>
    </w:p>
    <w:p w:rsidR="004A3045" w:rsidRDefault="00147204" w:rsidP="002A401E">
      <w:pPr>
        <w:rPr>
          <w:rFonts w:ascii="Arial" w:hAnsi="Arial" w:cs="Arial"/>
          <w:color w:val="000361"/>
          <w:sz w:val="20"/>
          <w:szCs w:val="20"/>
        </w:rPr>
      </w:pPr>
      <w:r>
        <w:rPr>
          <w:noProof/>
        </w:rPr>
        <w:drawing>
          <wp:inline distT="0" distB="0" distL="0" distR="0" wp14:anchorId="2C3E73A8" wp14:editId="414D7BA2">
            <wp:extent cx="5702300" cy="2087217"/>
            <wp:effectExtent l="0" t="0" r="0" b="0"/>
            <wp:docPr id="13" name="Gráfico 13">
              <a:extLst xmlns:a="http://schemas.openxmlformats.org/drawingml/2006/main">
                <a:ext uri="{FF2B5EF4-FFF2-40B4-BE49-F238E27FC236}">
                  <a16:creationId xmlns:a16="http://schemas.microsoft.com/office/drawing/2014/main" id="{B47BAC2D-544D-7643-99CC-D477CFE77B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92809" w:rsidRPr="002A401E" w:rsidRDefault="002A401E" w:rsidP="002D48FA">
      <w:pPr>
        <w:jc w:val="both"/>
        <w:rPr>
          <w:rFonts w:ascii="Arial" w:hAnsi="Arial" w:cs="Arial"/>
          <w:color w:val="002060"/>
          <w:sz w:val="14"/>
          <w:szCs w:val="14"/>
        </w:rPr>
      </w:pPr>
      <w:r w:rsidRPr="002A401E">
        <w:rPr>
          <w:rFonts w:ascii="Arial" w:hAnsi="Arial" w:cs="Arial"/>
          <w:color w:val="002060"/>
          <w:sz w:val="14"/>
          <w:szCs w:val="14"/>
        </w:rPr>
        <w:t>Font: Obtingut</w:t>
      </w:r>
      <w:r w:rsidR="00DB7929" w:rsidRPr="002A401E">
        <w:rPr>
          <w:rFonts w:ascii="Arial" w:hAnsi="Arial" w:cs="Arial"/>
          <w:color w:val="002060"/>
          <w:sz w:val="14"/>
          <w:szCs w:val="14"/>
        </w:rPr>
        <w:t xml:space="preserve"> a partir de la taula d’elaboració pròpia inclosa a</w:t>
      </w:r>
      <w:r w:rsidR="004F6482">
        <w:rPr>
          <w:rFonts w:ascii="Arial" w:hAnsi="Arial" w:cs="Arial"/>
          <w:color w:val="002060"/>
          <w:sz w:val="14"/>
          <w:szCs w:val="14"/>
        </w:rPr>
        <w:t xml:space="preserve"> l’annex 3.4</w:t>
      </w:r>
      <w:r w:rsidR="00DB7929" w:rsidRPr="002A401E">
        <w:rPr>
          <w:rFonts w:ascii="Arial" w:hAnsi="Arial" w:cs="Arial"/>
          <w:color w:val="002060"/>
          <w:sz w:val="14"/>
          <w:szCs w:val="14"/>
        </w:rPr>
        <w:t>.</w:t>
      </w:r>
    </w:p>
    <w:p w:rsidR="00692809" w:rsidRDefault="00692809" w:rsidP="002D48FA">
      <w:pPr>
        <w:jc w:val="both"/>
        <w:rPr>
          <w:rFonts w:ascii="Arial" w:hAnsi="Arial" w:cs="Arial"/>
          <w:color w:val="000361"/>
          <w:sz w:val="20"/>
          <w:szCs w:val="20"/>
        </w:rPr>
      </w:pPr>
    </w:p>
    <w:p w:rsidR="00DB7929" w:rsidRDefault="00DB7929" w:rsidP="002D48FA">
      <w:pPr>
        <w:jc w:val="both"/>
        <w:rPr>
          <w:rFonts w:ascii="Arial" w:hAnsi="Arial" w:cs="Arial"/>
          <w:color w:val="000361"/>
          <w:sz w:val="20"/>
          <w:szCs w:val="20"/>
        </w:rPr>
      </w:pPr>
      <w:r>
        <w:rPr>
          <w:rFonts w:ascii="Arial" w:hAnsi="Arial" w:cs="Arial"/>
          <w:color w:val="000361"/>
          <w:sz w:val="20"/>
          <w:szCs w:val="20"/>
        </w:rPr>
        <w:lastRenderedPageBreak/>
        <w:t>Aquest gràfic mostra</w:t>
      </w:r>
      <w:r w:rsidR="00FA481A">
        <w:rPr>
          <w:rFonts w:ascii="Arial" w:hAnsi="Arial" w:cs="Arial"/>
          <w:color w:val="000361"/>
          <w:sz w:val="20"/>
          <w:szCs w:val="20"/>
        </w:rPr>
        <w:t xml:space="preserve"> en tots els casos un augment de les vendes sempre amb valors positius, no obstant, de manera generalitzada l’augment de les vendes cau en l’exercici 2019. Són </w:t>
      </w:r>
      <w:r>
        <w:rPr>
          <w:rFonts w:ascii="Arial" w:hAnsi="Arial" w:cs="Arial"/>
          <w:color w:val="000361"/>
          <w:sz w:val="20"/>
          <w:szCs w:val="20"/>
        </w:rPr>
        <w:t>3 empreses, Neogen, Hipra i I</w:t>
      </w:r>
      <w:r w:rsidR="00D51D8D">
        <w:rPr>
          <w:rFonts w:ascii="Arial" w:hAnsi="Arial" w:cs="Arial"/>
          <w:color w:val="000361"/>
          <w:sz w:val="20"/>
          <w:szCs w:val="20"/>
        </w:rPr>
        <w:t>dexx</w:t>
      </w:r>
      <w:r>
        <w:rPr>
          <w:rFonts w:ascii="Arial" w:hAnsi="Arial" w:cs="Arial"/>
          <w:color w:val="000361"/>
          <w:sz w:val="20"/>
          <w:szCs w:val="20"/>
        </w:rPr>
        <w:t xml:space="preserve">, </w:t>
      </w:r>
      <w:r w:rsidR="00FA481A">
        <w:rPr>
          <w:rFonts w:ascii="Arial" w:hAnsi="Arial" w:cs="Arial"/>
          <w:color w:val="000361"/>
          <w:sz w:val="20"/>
          <w:szCs w:val="20"/>
        </w:rPr>
        <w:t>que obtenen</w:t>
      </w:r>
      <w:r>
        <w:rPr>
          <w:rFonts w:ascii="Arial" w:hAnsi="Arial" w:cs="Arial"/>
          <w:color w:val="000361"/>
          <w:sz w:val="20"/>
          <w:szCs w:val="20"/>
        </w:rPr>
        <w:t xml:space="preserve"> increments de</w:t>
      </w:r>
      <w:r w:rsidR="00FA481A">
        <w:rPr>
          <w:rFonts w:ascii="Arial" w:hAnsi="Arial" w:cs="Arial"/>
          <w:color w:val="000361"/>
          <w:sz w:val="20"/>
          <w:szCs w:val="20"/>
        </w:rPr>
        <w:t xml:space="preserve"> les</w:t>
      </w:r>
      <w:r>
        <w:rPr>
          <w:rFonts w:ascii="Arial" w:hAnsi="Arial" w:cs="Arial"/>
          <w:color w:val="000361"/>
          <w:sz w:val="20"/>
          <w:szCs w:val="20"/>
        </w:rPr>
        <w:t xml:space="preserve"> vendes per sobre el 10%</w:t>
      </w:r>
      <w:r w:rsidR="00FA481A">
        <w:rPr>
          <w:rFonts w:ascii="Arial" w:hAnsi="Arial" w:cs="Arial"/>
          <w:color w:val="000361"/>
          <w:sz w:val="20"/>
          <w:szCs w:val="20"/>
        </w:rPr>
        <w:t xml:space="preserve"> fins l’exercici 2018 i per tant</w:t>
      </w:r>
      <w:r>
        <w:rPr>
          <w:rFonts w:ascii="Arial" w:hAnsi="Arial" w:cs="Arial"/>
          <w:color w:val="000361"/>
          <w:sz w:val="20"/>
          <w:szCs w:val="20"/>
        </w:rPr>
        <w:t xml:space="preserve"> clarament superiors a la mitjana</w:t>
      </w:r>
      <w:r w:rsidR="00FA481A">
        <w:rPr>
          <w:rFonts w:ascii="Arial" w:hAnsi="Arial" w:cs="Arial"/>
          <w:color w:val="000361"/>
          <w:sz w:val="20"/>
          <w:szCs w:val="20"/>
        </w:rPr>
        <w:t>. Per la seva banda Zoetis es mou amb valors molt ajustats a la mitjana sectorial donat el pes que aquesta té sobre el sector. Virbac i Phibro amb pitjors resultats, incrementen les seves vendes entre un 0 i 2%</w:t>
      </w:r>
      <w:r w:rsidR="009822A1">
        <w:rPr>
          <w:rFonts w:ascii="Arial" w:hAnsi="Arial" w:cs="Arial"/>
          <w:color w:val="000361"/>
          <w:sz w:val="20"/>
          <w:szCs w:val="20"/>
        </w:rPr>
        <w:t xml:space="preserve"> anual</w:t>
      </w:r>
      <w:r w:rsidR="00FA481A">
        <w:rPr>
          <w:rFonts w:ascii="Arial" w:hAnsi="Arial" w:cs="Arial"/>
          <w:color w:val="000361"/>
          <w:sz w:val="20"/>
          <w:szCs w:val="20"/>
        </w:rPr>
        <w:t xml:space="preserve"> menys el 2018</w:t>
      </w:r>
      <w:r w:rsidR="00FF594E">
        <w:rPr>
          <w:rFonts w:ascii="Arial" w:hAnsi="Arial" w:cs="Arial"/>
          <w:color w:val="000361"/>
          <w:sz w:val="20"/>
          <w:szCs w:val="20"/>
        </w:rPr>
        <w:t xml:space="preserve"> quan s’origina un repunt a</w:t>
      </w:r>
      <w:r w:rsidR="009822A1">
        <w:rPr>
          <w:rFonts w:ascii="Arial" w:hAnsi="Arial" w:cs="Arial"/>
          <w:color w:val="000361"/>
          <w:sz w:val="20"/>
          <w:szCs w:val="20"/>
        </w:rPr>
        <w:t>ssolint un augment de</w:t>
      </w:r>
      <w:r w:rsidR="00FF594E">
        <w:rPr>
          <w:rFonts w:ascii="Arial" w:hAnsi="Arial" w:cs="Arial"/>
          <w:color w:val="000361"/>
          <w:sz w:val="20"/>
          <w:szCs w:val="20"/>
        </w:rPr>
        <w:t xml:space="preserve"> 6 i 7 punts percentuals respectivament.</w:t>
      </w:r>
    </w:p>
    <w:p w:rsidR="00FF594E" w:rsidRDefault="00FF594E" w:rsidP="002D48FA">
      <w:pPr>
        <w:jc w:val="both"/>
        <w:rPr>
          <w:rFonts w:ascii="Arial" w:hAnsi="Arial" w:cs="Arial"/>
          <w:color w:val="000361"/>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390"/>
        <w:gridCol w:w="4621"/>
      </w:tblGrid>
      <w:tr w:rsidR="002A401E" w:rsidTr="002A401E">
        <w:tc>
          <w:tcPr>
            <w:tcW w:w="4390" w:type="dxa"/>
            <w:vMerge w:val="restart"/>
          </w:tcPr>
          <w:p w:rsidR="002A401E" w:rsidRDefault="002A401E" w:rsidP="002D48FA">
            <w:pPr>
              <w:jc w:val="both"/>
              <w:rPr>
                <w:rFonts w:ascii="Arial" w:hAnsi="Arial" w:cs="Arial"/>
                <w:color w:val="000361"/>
                <w:sz w:val="20"/>
                <w:szCs w:val="20"/>
              </w:rPr>
            </w:pPr>
            <w:r>
              <w:rPr>
                <w:rFonts w:ascii="Arial" w:hAnsi="Arial" w:cs="Arial"/>
                <w:color w:val="000361"/>
                <w:sz w:val="20"/>
                <w:szCs w:val="20"/>
              </w:rPr>
              <w:t>Per tot el període analitzat (2015-2019), I</w:t>
            </w:r>
            <w:r w:rsidR="00D51D8D">
              <w:rPr>
                <w:rFonts w:ascii="Arial" w:hAnsi="Arial" w:cs="Arial"/>
                <w:color w:val="000361"/>
                <w:sz w:val="20"/>
                <w:szCs w:val="20"/>
              </w:rPr>
              <w:t>dexx</w:t>
            </w:r>
            <w:r>
              <w:rPr>
                <w:rFonts w:ascii="Arial" w:hAnsi="Arial" w:cs="Arial"/>
                <w:color w:val="000361"/>
                <w:sz w:val="20"/>
                <w:szCs w:val="20"/>
              </w:rPr>
              <w:t xml:space="preserve"> obté els millors resultats, amb un increment en percentatge horitzontal del 50%, seguit de Neogen i Hipra. Aquestes 3 es troben per damunt de la mitjana sectorial. Virbac i Phibro són les empreses que han tingut increments de les vendes més discrets amb valors propers a l’11%.</w:t>
            </w:r>
          </w:p>
        </w:tc>
        <w:tc>
          <w:tcPr>
            <w:tcW w:w="4621" w:type="dxa"/>
          </w:tcPr>
          <w:p w:rsidR="002A401E" w:rsidRPr="002A401E" w:rsidRDefault="002A401E" w:rsidP="002A401E">
            <w:pPr>
              <w:ind w:left="506"/>
              <w:rPr>
                <w:rFonts w:ascii="Arial" w:hAnsi="Arial" w:cs="Arial"/>
                <w:noProof/>
                <w:color w:val="002060"/>
                <w:sz w:val="20"/>
                <w:szCs w:val="20"/>
              </w:rPr>
            </w:pPr>
            <w:r w:rsidRPr="002A401E">
              <w:rPr>
                <w:rFonts w:ascii="Arial" w:hAnsi="Arial" w:cs="Arial"/>
                <w:noProof/>
                <w:color w:val="002060"/>
                <w:sz w:val="20"/>
                <w:szCs w:val="20"/>
              </w:rPr>
              <w:t>Gràfic</w:t>
            </w:r>
            <w:r>
              <w:rPr>
                <w:rFonts w:ascii="Arial" w:hAnsi="Arial" w:cs="Arial"/>
                <w:noProof/>
                <w:color w:val="002060"/>
                <w:sz w:val="20"/>
                <w:szCs w:val="20"/>
              </w:rPr>
              <w:t xml:space="preserve"> 3.</w:t>
            </w:r>
            <w:r w:rsidR="004A3E53">
              <w:rPr>
                <w:rFonts w:ascii="Arial" w:hAnsi="Arial" w:cs="Arial"/>
                <w:noProof/>
                <w:color w:val="002060"/>
                <w:sz w:val="20"/>
                <w:szCs w:val="20"/>
              </w:rPr>
              <w:t>6</w:t>
            </w:r>
            <w:r>
              <w:rPr>
                <w:rFonts w:ascii="Arial" w:hAnsi="Arial" w:cs="Arial"/>
                <w:noProof/>
                <w:color w:val="002060"/>
                <w:sz w:val="20"/>
                <w:szCs w:val="20"/>
              </w:rPr>
              <w:t xml:space="preserve"> Anàlisi horitzontal de les vendes per tot el període (2015-2019)</w:t>
            </w:r>
          </w:p>
        </w:tc>
      </w:tr>
      <w:tr w:rsidR="002A401E" w:rsidTr="002A401E">
        <w:tc>
          <w:tcPr>
            <w:tcW w:w="4390" w:type="dxa"/>
            <w:vMerge/>
          </w:tcPr>
          <w:p w:rsidR="002A401E" w:rsidRDefault="002A401E" w:rsidP="002D48FA">
            <w:pPr>
              <w:jc w:val="both"/>
              <w:rPr>
                <w:rFonts w:ascii="Arial" w:hAnsi="Arial" w:cs="Arial"/>
                <w:color w:val="000361"/>
                <w:sz w:val="20"/>
                <w:szCs w:val="20"/>
              </w:rPr>
            </w:pPr>
          </w:p>
        </w:tc>
        <w:tc>
          <w:tcPr>
            <w:tcW w:w="4621" w:type="dxa"/>
          </w:tcPr>
          <w:p w:rsidR="002A401E" w:rsidRDefault="002A401E" w:rsidP="00FF594E">
            <w:pPr>
              <w:jc w:val="right"/>
              <w:rPr>
                <w:rFonts w:ascii="Arial" w:hAnsi="Arial" w:cs="Arial"/>
                <w:color w:val="000361"/>
                <w:sz w:val="20"/>
                <w:szCs w:val="20"/>
              </w:rPr>
            </w:pPr>
            <w:r>
              <w:rPr>
                <w:noProof/>
              </w:rPr>
              <w:drawing>
                <wp:inline distT="0" distB="0" distL="0" distR="0" wp14:anchorId="77D23127" wp14:editId="55B498A2">
                  <wp:extent cx="2527069" cy="2468880"/>
                  <wp:effectExtent l="0" t="0" r="635" b="0"/>
                  <wp:docPr id="16" name="Gráfico 16">
                    <a:extLst xmlns:a="http://schemas.openxmlformats.org/drawingml/2006/main">
                      <a:ext uri="{FF2B5EF4-FFF2-40B4-BE49-F238E27FC236}">
                        <a16:creationId xmlns:a16="http://schemas.microsoft.com/office/drawing/2014/main" id="{741122AF-CD4B-7D4F-913A-00C04EC69B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2A401E" w:rsidRPr="002A401E" w:rsidTr="002A401E">
        <w:tc>
          <w:tcPr>
            <w:tcW w:w="4390" w:type="dxa"/>
            <w:vMerge/>
          </w:tcPr>
          <w:p w:rsidR="002A401E" w:rsidRPr="002A401E" w:rsidRDefault="002A401E" w:rsidP="002D48FA">
            <w:pPr>
              <w:jc w:val="both"/>
              <w:rPr>
                <w:rFonts w:ascii="Arial" w:hAnsi="Arial" w:cs="Arial"/>
                <w:color w:val="002060"/>
                <w:sz w:val="14"/>
                <w:szCs w:val="14"/>
              </w:rPr>
            </w:pPr>
          </w:p>
        </w:tc>
        <w:tc>
          <w:tcPr>
            <w:tcW w:w="4621" w:type="dxa"/>
          </w:tcPr>
          <w:p w:rsidR="002A401E" w:rsidRPr="002A401E" w:rsidRDefault="002A401E" w:rsidP="002A401E">
            <w:pPr>
              <w:pStyle w:val="Prrafodelista"/>
              <w:ind w:left="506"/>
              <w:jc w:val="both"/>
              <w:rPr>
                <w:rFonts w:ascii="Arial" w:hAnsi="Arial" w:cs="Arial"/>
                <w:color w:val="002060"/>
                <w:sz w:val="14"/>
                <w:szCs w:val="14"/>
              </w:rPr>
            </w:pPr>
            <w:r w:rsidRPr="002A401E">
              <w:rPr>
                <w:rFonts w:ascii="Arial" w:hAnsi="Arial" w:cs="Arial"/>
                <w:color w:val="002060"/>
                <w:sz w:val="14"/>
                <w:szCs w:val="14"/>
              </w:rPr>
              <w:t xml:space="preserve">Font:  Segons taula d’elaboració pròpia adjunta </w:t>
            </w:r>
            <w:r w:rsidR="004F6482">
              <w:rPr>
                <w:rFonts w:ascii="Arial" w:hAnsi="Arial" w:cs="Arial"/>
                <w:color w:val="002060"/>
                <w:sz w:val="14"/>
                <w:szCs w:val="14"/>
              </w:rPr>
              <w:t>a l’annex 3.5</w:t>
            </w:r>
            <w:r w:rsidRPr="002A401E">
              <w:rPr>
                <w:rFonts w:ascii="Arial" w:hAnsi="Arial" w:cs="Arial"/>
                <w:color w:val="002060"/>
                <w:sz w:val="14"/>
                <w:szCs w:val="14"/>
              </w:rPr>
              <w:t>.</w:t>
            </w:r>
          </w:p>
        </w:tc>
      </w:tr>
    </w:tbl>
    <w:p w:rsidR="00FF594E" w:rsidRPr="002A401E" w:rsidRDefault="00FF594E" w:rsidP="002D48FA">
      <w:pPr>
        <w:jc w:val="both"/>
        <w:rPr>
          <w:rFonts w:ascii="Arial" w:hAnsi="Arial" w:cs="Arial"/>
          <w:color w:val="002060"/>
          <w:sz w:val="14"/>
          <w:szCs w:val="14"/>
        </w:rPr>
      </w:pPr>
    </w:p>
    <w:p w:rsidR="00692809" w:rsidRDefault="00692809" w:rsidP="002D48FA">
      <w:pPr>
        <w:jc w:val="both"/>
        <w:rPr>
          <w:rFonts w:ascii="Arial" w:hAnsi="Arial" w:cs="Arial"/>
          <w:color w:val="000361"/>
          <w:sz w:val="20"/>
          <w:szCs w:val="20"/>
        </w:rPr>
      </w:pPr>
    </w:p>
    <w:p w:rsidR="00AB0349" w:rsidRPr="00BE040E" w:rsidRDefault="00BE040E" w:rsidP="00BE040E">
      <w:pPr>
        <w:pStyle w:val="Prrafodelista"/>
        <w:numPr>
          <w:ilvl w:val="0"/>
          <w:numId w:val="24"/>
        </w:numPr>
        <w:jc w:val="both"/>
        <w:rPr>
          <w:rFonts w:ascii="Arial" w:hAnsi="Arial" w:cs="Arial"/>
          <w:i/>
          <w:color w:val="000361"/>
          <w:sz w:val="20"/>
          <w:szCs w:val="20"/>
        </w:rPr>
      </w:pPr>
      <w:r w:rsidRPr="00BE040E">
        <w:rPr>
          <w:rFonts w:ascii="Arial" w:hAnsi="Arial" w:cs="Arial"/>
          <w:i/>
          <w:color w:val="000361"/>
          <w:sz w:val="20"/>
          <w:szCs w:val="20"/>
        </w:rPr>
        <w:t>Resultat d’explotació:</w:t>
      </w:r>
    </w:p>
    <w:p w:rsidR="00AB0349" w:rsidRDefault="00AB0349" w:rsidP="002D48FA">
      <w:pPr>
        <w:jc w:val="both"/>
        <w:rPr>
          <w:rFonts w:ascii="Arial" w:hAnsi="Arial" w:cs="Arial"/>
          <w:color w:val="000361"/>
          <w:sz w:val="20"/>
          <w:szCs w:val="20"/>
        </w:rPr>
      </w:pPr>
    </w:p>
    <w:p w:rsidR="00BE040E" w:rsidRDefault="00BE040E" w:rsidP="002D48FA">
      <w:pPr>
        <w:jc w:val="both"/>
        <w:rPr>
          <w:rFonts w:ascii="Arial" w:hAnsi="Arial" w:cs="Arial"/>
          <w:color w:val="000361"/>
          <w:sz w:val="20"/>
          <w:szCs w:val="20"/>
        </w:rPr>
      </w:pPr>
    </w:p>
    <w:p w:rsidR="00BE040E" w:rsidRDefault="00703D58" w:rsidP="002D48FA">
      <w:pPr>
        <w:jc w:val="both"/>
        <w:rPr>
          <w:rFonts w:ascii="Arial" w:hAnsi="Arial" w:cs="Arial"/>
          <w:color w:val="000361"/>
          <w:sz w:val="20"/>
          <w:szCs w:val="20"/>
        </w:rPr>
      </w:pPr>
      <w:r>
        <w:rPr>
          <w:rFonts w:ascii="Arial" w:hAnsi="Arial" w:cs="Arial"/>
          <w:color w:val="000361"/>
          <w:sz w:val="20"/>
          <w:szCs w:val="20"/>
        </w:rPr>
        <w:t>Es presenten els resultats d’explotació de les empreses seleccionades del sector farmacèutic de Salut Animal de manera gràfica. Donada la magnitud dels resultats de l’empresa Zoetis respecte els altres competidors s’adjunta un segon gràfic ampliant l’interval de les empreses que obtenen resultats més petits per poder distingir més fàcilment la seva evolució. També s’elabora la variació percentual horitzontal dels resultats d’explotació per aportar informació complementària a l’anàlisi.</w:t>
      </w:r>
    </w:p>
    <w:p w:rsidR="00703D58" w:rsidRDefault="00703D58" w:rsidP="002D48FA">
      <w:pPr>
        <w:jc w:val="both"/>
        <w:rPr>
          <w:rFonts w:ascii="Arial" w:hAnsi="Arial" w:cs="Arial"/>
          <w:color w:val="000361"/>
          <w:sz w:val="20"/>
          <w:szCs w:val="20"/>
        </w:rPr>
      </w:pPr>
    </w:p>
    <w:tbl>
      <w:tblPr>
        <w:tblStyle w:val="Tablaconcuadrcula"/>
        <w:tblpPr w:leftFromText="141" w:rightFromText="141" w:horzAnchor="margin" w:tblpY="-119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236"/>
        <w:gridCol w:w="4785"/>
      </w:tblGrid>
      <w:tr w:rsidR="006F3AEA" w:rsidTr="006F3AEA">
        <w:tc>
          <w:tcPr>
            <w:tcW w:w="9021" w:type="dxa"/>
            <w:gridSpan w:val="2"/>
          </w:tcPr>
          <w:p w:rsidR="006F3AEA" w:rsidRDefault="006F3AEA" w:rsidP="006F3AEA">
            <w:pPr>
              <w:jc w:val="both"/>
              <w:rPr>
                <w:rFonts w:ascii="Arial" w:hAnsi="Arial" w:cs="Arial"/>
                <w:noProof/>
                <w:color w:val="002060"/>
                <w:sz w:val="20"/>
                <w:szCs w:val="20"/>
              </w:rPr>
            </w:pPr>
          </w:p>
          <w:p w:rsidR="006F3AEA" w:rsidRDefault="006F3AEA" w:rsidP="006F3AEA">
            <w:pPr>
              <w:jc w:val="both"/>
              <w:rPr>
                <w:rFonts w:ascii="Arial" w:hAnsi="Arial" w:cs="Arial"/>
                <w:noProof/>
                <w:color w:val="002060"/>
                <w:sz w:val="20"/>
                <w:szCs w:val="20"/>
              </w:rPr>
            </w:pPr>
          </w:p>
          <w:p w:rsidR="006F3AEA" w:rsidRDefault="006F3AEA" w:rsidP="006F3AEA">
            <w:pPr>
              <w:jc w:val="both"/>
              <w:rPr>
                <w:rFonts w:ascii="Arial" w:hAnsi="Arial" w:cs="Arial"/>
                <w:noProof/>
                <w:color w:val="002060"/>
                <w:sz w:val="20"/>
                <w:szCs w:val="20"/>
              </w:rPr>
            </w:pPr>
          </w:p>
          <w:p w:rsidR="006F3AEA" w:rsidRDefault="006F3AEA" w:rsidP="006F3AEA">
            <w:pPr>
              <w:jc w:val="both"/>
              <w:rPr>
                <w:rFonts w:ascii="Arial" w:hAnsi="Arial" w:cs="Arial"/>
                <w:noProof/>
                <w:color w:val="002060"/>
                <w:sz w:val="20"/>
                <w:szCs w:val="20"/>
              </w:rPr>
            </w:pPr>
          </w:p>
          <w:p w:rsidR="006F3AEA" w:rsidRDefault="006F3AEA" w:rsidP="006F3AEA">
            <w:pPr>
              <w:jc w:val="both"/>
              <w:rPr>
                <w:rFonts w:ascii="Arial" w:hAnsi="Arial" w:cs="Arial"/>
                <w:noProof/>
                <w:color w:val="002060"/>
                <w:sz w:val="20"/>
                <w:szCs w:val="20"/>
              </w:rPr>
            </w:pPr>
          </w:p>
          <w:p w:rsidR="006F3AEA" w:rsidRDefault="006F3AEA" w:rsidP="006F3AEA">
            <w:pPr>
              <w:jc w:val="both"/>
              <w:rPr>
                <w:rFonts w:ascii="Arial" w:hAnsi="Arial" w:cs="Arial"/>
                <w:noProof/>
                <w:color w:val="002060"/>
                <w:sz w:val="20"/>
                <w:szCs w:val="20"/>
              </w:rPr>
            </w:pPr>
          </w:p>
          <w:p w:rsidR="006F3AEA" w:rsidRPr="006F3AEA" w:rsidRDefault="006F3AEA" w:rsidP="006F3AEA">
            <w:pPr>
              <w:jc w:val="both"/>
              <w:rPr>
                <w:rFonts w:ascii="Arial" w:hAnsi="Arial" w:cs="Arial"/>
                <w:noProof/>
                <w:color w:val="002060"/>
                <w:sz w:val="20"/>
                <w:szCs w:val="20"/>
              </w:rPr>
            </w:pPr>
            <w:r>
              <w:rPr>
                <w:rFonts w:ascii="Arial" w:hAnsi="Arial" w:cs="Arial"/>
                <w:noProof/>
                <w:color w:val="002060"/>
                <w:sz w:val="20"/>
                <w:szCs w:val="20"/>
              </w:rPr>
              <w:t>Gràfic 3.</w:t>
            </w:r>
            <w:r w:rsidR="004A3E53">
              <w:rPr>
                <w:rFonts w:ascii="Arial" w:hAnsi="Arial" w:cs="Arial"/>
                <w:noProof/>
                <w:color w:val="002060"/>
                <w:sz w:val="20"/>
                <w:szCs w:val="20"/>
              </w:rPr>
              <w:t>7</w:t>
            </w:r>
            <w:r>
              <w:rPr>
                <w:rFonts w:ascii="Arial" w:hAnsi="Arial" w:cs="Arial"/>
                <w:noProof/>
                <w:color w:val="002060"/>
                <w:sz w:val="20"/>
                <w:szCs w:val="20"/>
              </w:rPr>
              <w:t xml:space="preserve"> Resultats d’explotació sectorials amb detall gràfic ampliat (milions de dòlars)</w:t>
            </w:r>
          </w:p>
        </w:tc>
      </w:tr>
      <w:tr w:rsidR="00703D58" w:rsidTr="006F3AEA">
        <w:tc>
          <w:tcPr>
            <w:tcW w:w="4242" w:type="dxa"/>
          </w:tcPr>
          <w:p w:rsidR="00703D58" w:rsidRDefault="00703D58" w:rsidP="006F3AEA">
            <w:pPr>
              <w:jc w:val="both"/>
              <w:rPr>
                <w:rFonts w:ascii="Arial" w:hAnsi="Arial" w:cs="Arial"/>
                <w:color w:val="000361"/>
                <w:sz w:val="20"/>
                <w:szCs w:val="20"/>
              </w:rPr>
            </w:pPr>
            <w:r>
              <w:rPr>
                <w:noProof/>
              </w:rPr>
              <w:drawing>
                <wp:inline distT="0" distB="0" distL="0" distR="0" wp14:anchorId="17394C01" wp14:editId="1614F489">
                  <wp:extent cx="2701290" cy="2696817"/>
                  <wp:effectExtent l="0" t="0" r="3810" b="0"/>
                  <wp:docPr id="17" name="Gráfico 17">
                    <a:extLst xmlns:a="http://schemas.openxmlformats.org/drawingml/2006/main">
                      <a:ext uri="{FF2B5EF4-FFF2-40B4-BE49-F238E27FC236}">
                        <a16:creationId xmlns:a16="http://schemas.microsoft.com/office/drawing/2014/main" id="{C6D1FB64-4C54-F84C-A495-0DCCB96FCA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779" w:type="dxa"/>
          </w:tcPr>
          <w:p w:rsidR="00703D58" w:rsidRDefault="00703D58" w:rsidP="006F3AEA">
            <w:pPr>
              <w:jc w:val="both"/>
              <w:rPr>
                <w:rFonts w:ascii="Arial" w:hAnsi="Arial" w:cs="Arial"/>
                <w:color w:val="000361"/>
                <w:sz w:val="20"/>
                <w:szCs w:val="20"/>
              </w:rPr>
            </w:pPr>
            <w:r>
              <w:rPr>
                <w:noProof/>
              </w:rPr>
              <w:drawing>
                <wp:inline distT="0" distB="0" distL="0" distR="0" wp14:anchorId="3642DA5D" wp14:editId="0A474DBD">
                  <wp:extent cx="3067050" cy="2696210"/>
                  <wp:effectExtent l="0" t="0" r="0" b="0"/>
                  <wp:docPr id="18" name="Gráfico 18">
                    <a:extLst xmlns:a="http://schemas.openxmlformats.org/drawingml/2006/main">
                      <a:ext uri="{FF2B5EF4-FFF2-40B4-BE49-F238E27FC236}">
                        <a16:creationId xmlns:a16="http://schemas.microsoft.com/office/drawing/2014/main" id="{2B2C3C56-5003-A94C-A7E1-7FD3830882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402590" w:rsidTr="006F3AEA">
        <w:tc>
          <w:tcPr>
            <w:tcW w:w="9021" w:type="dxa"/>
            <w:gridSpan w:val="2"/>
          </w:tcPr>
          <w:p w:rsidR="00402590" w:rsidRPr="006F3AEA" w:rsidRDefault="006F3AEA" w:rsidP="006F3AEA">
            <w:pPr>
              <w:jc w:val="both"/>
              <w:rPr>
                <w:noProof/>
                <w:sz w:val="14"/>
                <w:szCs w:val="14"/>
              </w:rPr>
            </w:pPr>
            <w:r w:rsidRPr="006F3AEA">
              <w:rPr>
                <w:rFonts w:ascii="Arial" w:hAnsi="Arial" w:cs="Arial"/>
                <w:noProof/>
                <w:color w:val="002060"/>
                <w:sz w:val="14"/>
                <w:szCs w:val="14"/>
              </w:rPr>
              <w:t>Font: Elaboració</w:t>
            </w:r>
            <w:r w:rsidR="00402590" w:rsidRPr="006F3AEA">
              <w:rPr>
                <w:rFonts w:ascii="Arial" w:hAnsi="Arial" w:cs="Arial"/>
                <w:noProof/>
                <w:color w:val="002060"/>
                <w:sz w:val="14"/>
                <w:szCs w:val="14"/>
              </w:rPr>
              <w:t xml:space="preserve"> pròpia </w:t>
            </w:r>
            <w:r w:rsidRPr="006F3AEA">
              <w:rPr>
                <w:rFonts w:ascii="Arial" w:hAnsi="Arial" w:cs="Arial"/>
                <w:noProof/>
                <w:color w:val="002060"/>
                <w:sz w:val="14"/>
                <w:szCs w:val="14"/>
              </w:rPr>
              <w:t>a partir de taula adjuntada</w:t>
            </w:r>
            <w:r w:rsidR="00402590" w:rsidRPr="006F3AEA">
              <w:rPr>
                <w:rFonts w:ascii="Arial" w:hAnsi="Arial" w:cs="Arial"/>
                <w:noProof/>
                <w:color w:val="002060"/>
                <w:sz w:val="14"/>
                <w:szCs w:val="14"/>
              </w:rPr>
              <w:t xml:space="preserve"> </w:t>
            </w:r>
            <w:r w:rsidR="004F6482">
              <w:rPr>
                <w:rFonts w:ascii="Arial" w:hAnsi="Arial" w:cs="Arial"/>
                <w:noProof/>
                <w:color w:val="002060"/>
                <w:sz w:val="14"/>
                <w:szCs w:val="14"/>
              </w:rPr>
              <w:t>a l’annex 3.6</w:t>
            </w:r>
            <w:r w:rsidR="00402590" w:rsidRPr="006F3AEA">
              <w:rPr>
                <w:rFonts w:ascii="Arial" w:hAnsi="Arial" w:cs="Arial"/>
                <w:noProof/>
                <w:color w:val="002060"/>
                <w:sz w:val="14"/>
                <w:szCs w:val="14"/>
              </w:rPr>
              <w:t xml:space="preserve">. Virbac i Hipra que presenten les xifres en €, s’han passat a $ segons els tipus de canvi mitjans de cada exercici. Aquests tipus de canvi utilitzats es troben a </w:t>
            </w:r>
            <w:r w:rsidR="00402590" w:rsidRPr="006F3AEA">
              <w:rPr>
                <w:rFonts w:ascii="Arial" w:hAnsi="Arial" w:cs="Arial"/>
                <w:noProof/>
                <w:color w:val="002060"/>
                <w:sz w:val="14"/>
                <w:szCs w:val="14"/>
                <w:u w:val="single"/>
              </w:rPr>
              <w:t xml:space="preserve">l’annex </w:t>
            </w:r>
            <w:r w:rsidRPr="006F3AEA">
              <w:rPr>
                <w:rFonts w:ascii="Arial" w:hAnsi="Arial" w:cs="Arial"/>
                <w:noProof/>
                <w:color w:val="002060"/>
                <w:sz w:val="14"/>
                <w:szCs w:val="14"/>
                <w:u w:val="single"/>
              </w:rPr>
              <w:t>1.</w:t>
            </w:r>
            <w:r w:rsidR="00402590" w:rsidRPr="006F3AEA">
              <w:rPr>
                <w:rFonts w:ascii="Arial" w:hAnsi="Arial" w:cs="Arial"/>
                <w:noProof/>
                <w:color w:val="002060"/>
                <w:sz w:val="14"/>
                <w:szCs w:val="14"/>
                <w:u w:val="single"/>
              </w:rPr>
              <w:t>4</w:t>
            </w:r>
            <w:r w:rsidR="00402590" w:rsidRPr="006F3AEA">
              <w:rPr>
                <w:rFonts w:ascii="Arial" w:hAnsi="Arial" w:cs="Arial"/>
                <w:noProof/>
                <w:color w:val="002060"/>
                <w:sz w:val="14"/>
                <w:szCs w:val="14"/>
              </w:rPr>
              <w:t>.</w:t>
            </w:r>
          </w:p>
        </w:tc>
      </w:tr>
    </w:tbl>
    <w:p w:rsidR="00AB0349" w:rsidRDefault="00AB0349" w:rsidP="002D48FA">
      <w:pPr>
        <w:jc w:val="both"/>
        <w:rPr>
          <w:rFonts w:ascii="Arial" w:hAnsi="Arial" w:cs="Arial"/>
          <w:color w:val="000361"/>
          <w:sz w:val="20"/>
          <w:szCs w:val="20"/>
        </w:rPr>
      </w:pPr>
    </w:p>
    <w:p w:rsidR="00AB0349" w:rsidRDefault="004414F4" w:rsidP="002D48FA">
      <w:pPr>
        <w:jc w:val="both"/>
        <w:rPr>
          <w:rFonts w:ascii="Arial" w:hAnsi="Arial" w:cs="Arial"/>
          <w:color w:val="000361"/>
          <w:sz w:val="20"/>
          <w:szCs w:val="20"/>
        </w:rPr>
      </w:pPr>
      <w:r>
        <w:rPr>
          <w:rFonts w:ascii="Arial" w:hAnsi="Arial" w:cs="Arial"/>
          <w:color w:val="000361"/>
          <w:sz w:val="20"/>
          <w:szCs w:val="20"/>
        </w:rPr>
        <w:t>Els resultats d’explotació de Laboratoris Hipra és inferior respecte la mitjana que s’ha establert del sector. És evident que no disposa d’una massa d’actius tant gran com Zoetis o I</w:t>
      </w:r>
      <w:r w:rsidR="006F3AEA">
        <w:rPr>
          <w:rFonts w:ascii="Arial" w:hAnsi="Arial" w:cs="Arial"/>
          <w:color w:val="000361"/>
          <w:sz w:val="20"/>
          <w:szCs w:val="20"/>
        </w:rPr>
        <w:t>dexx</w:t>
      </w:r>
      <w:r>
        <w:rPr>
          <w:rFonts w:ascii="Arial" w:hAnsi="Arial" w:cs="Arial"/>
          <w:color w:val="000361"/>
          <w:sz w:val="20"/>
          <w:szCs w:val="20"/>
        </w:rPr>
        <w:t xml:space="preserve"> que són els </w:t>
      </w:r>
      <w:r w:rsidR="009822A1">
        <w:rPr>
          <w:rFonts w:ascii="Arial" w:hAnsi="Arial" w:cs="Arial"/>
          <w:color w:val="000361"/>
          <w:sz w:val="20"/>
          <w:szCs w:val="20"/>
        </w:rPr>
        <w:t xml:space="preserve">competidors que </w:t>
      </w:r>
      <w:r>
        <w:rPr>
          <w:rFonts w:ascii="Arial" w:hAnsi="Arial" w:cs="Arial"/>
          <w:color w:val="000361"/>
          <w:sz w:val="20"/>
          <w:szCs w:val="20"/>
        </w:rPr>
        <w:t>pressionen la mitjana</w:t>
      </w:r>
      <w:r w:rsidR="009822A1">
        <w:rPr>
          <w:rFonts w:ascii="Arial" w:hAnsi="Arial" w:cs="Arial"/>
          <w:color w:val="000361"/>
          <w:sz w:val="20"/>
          <w:szCs w:val="20"/>
        </w:rPr>
        <w:t xml:space="preserve"> sectorial</w:t>
      </w:r>
      <w:r>
        <w:rPr>
          <w:rFonts w:ascii="Arial" w:hAnsi="Arial" w:cs="Arial"/>
          <w:color w:val="000361"/>
          <w:sz w:val="20"/>
          <w:szCs w:val="20"/>
        </w:rPr>
        <w:t xml:space="preserve"> a l’alça</w:t>
      </w:r>
      <w:r w:rsidR="009822A1">
        <w:rPr>
          <w:rFonts w:ascii="Arial" w:hAnsi="Arial" w:cs="Arial"/>
          <w:color w:val="000361"/>
          <w:sz w:val="20"/>
          <w:szCs w:val="20"/>
        </w:rPr>
        <w:t>.</w:t>
      </w:r>
      <w:r>
        <w:rPr>
          <w:rFonts w:ascii="Arial" w:hAnsi="Arial" w:cs="Arial"/>
          <w:color w:val="000361"/>
          <w:sz w:val="20"/>
          <w:szCs w:val="20"/>
        </w:rPr>
        <w:t xml:space="preserve"> </w:t>
      </w:r>
      <w:r w:rsidR="009822A1">
        <w:rPr>
          <w:rFonts w:ascii="Arial" w:hAnsi="Arial" w:cs="Arial"/>
          <w:color w:val="000361"/>
          <w:sz w:val="20"/>
          <w:szCs w:val="20"/>
        </w:rPr>
        <w:t>N</w:t>
      </w:r>
      <w:r>
        <w:rPr>
          <w:rFonts w:ascii="Arial" w:hAnsi="Arial" w:cs="Arial"/>
          <w:color w:val="000361"/>
          <w:sz w:val="20"/>
          <w:szCs w:val="20"/>
        </w:rPr>
        <w:t>o obstant, podem veure com</w:t>
      </w:r>
      <w:r w:rsidR="009822A1">
        <w:rPr>
          <w:rFonts w:ascii="Arial" w:hAnsi="Arial" w:cs="Arial"/>
          <w:color w:val="000361"/>
          <w:sz w:val="20"/>
          <w:szCs w:val="20"/>
        </w:rPr>
        <w:t xml:space="preserve"> Laboratoris Hipra</w:t>
      </w:r>
      <w:r>
        <w:rPr>
          <w:rFonts w:ascii="Arial" w:hAnsi="Arial" w:cs="Arial"/>
          <w:color w:val="000361"/>
          <w:sz w:val="20"/>
          <w:szCs w:val="20"/>
        </w:rPr>
        <w:t xml:space="preserve"> dibuixa </w:t>
      </w:r>
      <w:r w:rsidR="009822A1">
        <w:rPr>
          <w:rFonts w:ascii="Arial" w:hAnsi="Arial" w:cs="Arial"/>
          <w:color w:val="000361"/>
          <w:sz w:val="20"/>
          <w:szCs w:val="20"/>
        </w:rPr>
        <w:t>un perfil</w:t>
      </w:r>
      <w:r>
        <w:rPr>
          <w:rFonts w:ascii="Arial" w:hAnsi="Arial" w:cs="Arial"/>
          <w:color w:val="000361"/>
          <w:sz w:val="20"/>
          <w:szCs w:val="20"/>
        </w:rPr>
        <w:t xml:space="preserve"> </w:t>
      </w:r>
      <w:r w:rsidR="009822A1">
        <w:rPr>
          <w:rFonts w:ascii="Arial" w:hAnsi="Arial" w:cs="Arial"/>
          <w:color w:val="000361"/>
          <w:sz w:val="20"/>
          <w:szCs w:val="20"/>
        </w:rPr>
        <w:t>de creixement</w:t>
      </w:r>
      <w:r>
        <w:rPr>
          <w:rFonts w:ascii="Arial" w:hAnsi="Arial" w:cs="Arial"/>
          <w:color w:val="000361"/>
          <w:sz w:val="20"/>
          <w:szCs w:val="20"/>
        </w:rPr>
        <w:t xml:space="preserve"> igual que fa la mitjana</w:t>
      </w:r>
      <w:r w:rsidR="009822A1">
        <w:rPr>
          <w:rFonts w:ascii="Arial" w:hAnsi="Arial" w:cs="Arial"/>
          <w:color w:val="000361"/>
          <w:sz w:val="20"/>
          <w:szCs w:val="20"/>
        </w:rPr>
        <w:t xml:space="preserve">, atribuïble a </w:t>
      </w:r>
      <w:r w:rsidR="00B420CA">
        <w:rPr>
          <w:rFonts w:ascii="Arial" w:hAnsi="Arial" w:cs="Arial"/>
          <w:color w:val="000361"/>
          <w:sz w:val="20"/>
          <w:szCs w:val="20"/>
        </w:rPr>
        <w:t xml:space="preserve">un </w:t>
      </w:r>
      <w:r w:rsidR="0016404C">
        <w:rPr>
          <w:rFonts w:ascii="Arial" w:hAnsi="Arial" w:cs="Arial"/>
          <w:color w:val="000361"/>
          <w:sz w:val="20"/>
          <w:szCs w:val="20"/>
        </w:rPr>
        <w:t xml:space="preserve">creixement </w:t>
      </w:r>
      <w:r w:rsidR="00B420CA">
        <w:rPr>
          <w:rFonts w:ascii="Arial" w:hAnsi="Arial" w:cs="Arial"/>
          <w:color w:val="000361"/>
          <w:sz w:val="20"/>
          <w:szCs w:val="20"/>
        </w:rPr>
        <w:t xml:space="preserve">sostingut </w:t>
      </w:r>
      <w:r w:rsidR="009822A1">
        <w:rPr>
          <w:rFonts w:ascii="Arial" w:hAnsi="Arial" w:cs="Arial"/>
          <w:color w:val="000361"/>
          <w:sz w:val="20"/>
          <w:szCs w:val="20"/>
        </w:rPr>
        <w:t>d’un exercici a l’altre</w:t>
      </w:r>
      <w:r w:rsidR="00B420CA">
        <w:rPr>
          <w:rFonts w:ascii="Arial" w:hAnsi="Arial" w:cs="Arial"/>
          <w:color w:val="000361"/>
          <w:sz w:val="20"/>
          <w:szCs w:val="20"/>
        </w:rPr>
        <w:t>. De fet, només són dues les empreses que s’allunyen del patró que estableix la mitjana, Phibro</w:t>
      </w:r>
      <w:r w:rsidR="009822A1">
        <w:rPr>
          <w:rFonts w:ascii="Arial" w:hAnsi="Arial" w:cs="Arial"/>
          <w:color w:val="000361"/>
          <w:sz w:val="20"/>
          <w:szCs w:val="20"/>
        </w:rPr>
        <w:t xml:space="preserve"> que</w:t>
      </w:r>
      <w:r w:rsidR="00B420CA">
        <w:rPr>
          <w:rFonts w:ascii="Arial" w:hAnsi="Arial" w:cs="Arial"/>
          <w:color w:val="000361"/>
          <w:sz w:val="20"/>
          <w:szCs w:val="20"/>
        </w:rPr>
        <w:t xml:space="preserve"> és </w:t>
      </w:r>
      <w:r w:rsidR="006012D2">
        <w:rPr>
          <w:rFonts w:ascii="Arial" w:hAnsi="Arial" w:cs="Arial"/>
          <w:color w:val="000361"/>
          <w:sz w:val="20"/>
          <w:szCs w:val="20"/>
        </w:rPr>
        <w:t>l’única</w:t>
      </w:r>
      <w:r w:rsidR="00B420CA">
        <w:rPr>
          <w:rFonts w:ascii="Arial" w:hAnsi="Arial" w:cs="Arial"/>
          <w:color w:val="000361"/>
          <w:sz w:val="20"/>
          <w:szCs w:val="20"/>
        </w:rPr>
        <w:t xml:space="preserve"> que acaba l’any 2019 empitjorant el resultat d’explotació obtingut el 2015 i es fa difícil interpretar si l’empresa evoluciona cap a millors, pitjors o iguals resultats, i Virbac amb un perfil esglaonat que indiquen </w:t>
      </w:r>
      <w:r w:rsidR="00A2635F">
        <w:rPr>
          <w:rFonts w:ascii="Arial" w:hAnsi="Arial" w:cs="Arial"/>
          <w:color w:val="000361"/>
          <w:sz w:val="20"/>
          <w:szCs w:val="20"/>
        </w:rPr>
        <w:t>unes variacions positives de resultats d’explotació molt importants que es pot veure en el següent gràfic que incorpora un anàlisi percentual horitzontal del resultat d’explotació.</w:t>
      </w:r>
    </w:p>
    <w:p w:rsidR="00A2635F" w:rsidRDefault="00A2635F" w:rsidP="002D48FA">
      <w:pPr>
        <w:jc w:val="both"/>
        <w:rPr>
          <w:rFonts w:ascii="Arial" w:hAnsi="Arial" w:cs="Arial"/>
          <w:color w:val="000361"/>
          <w:sz w:val="20"/>
          <w:szCs w:val="20"/>
        </w:rPr>
      </w:pPr>
    </w:p>
    <w:p w:rsidR="006F3AEA" w:rsidRDefault="006F3AEA" w:rsidP="002D48FA">
      <w:pPr>
        <w:jc w:val="both"/>
        <w:rPr>
          <w:rFonts w:ascii="Arial" w:hAnsi="Arial" w:cs="Arial"/>
          <w:color w:val="000361"/>
          <w:sz w:val="20"/>
          <w:szCs w:val="20"/>
        </w:rPr>
      </w:pPr>
      <w:r>
        <w:rPr>
          <w:rFonts w:ascii="Arial" w:hAnsi="Arial" w:cs="Arial"/>
          <w:color w:val="000361"/>
          <w:sz w:val="20"/>
          <w:szCs w:val="20"/>
        </w:rPr>
        <w:t>Gràfic 3.</w:t>
      </w:r>
      <w:r w:rsidR="004A3E53">
        <w:rPr>
          <w:rFonts w:ascii="Arial" w:hAnsi="Arial" w:cs="Arial"/>
          <w:color w:val="000361"/>
          <w:sz w:val="20"/>
          <w:szCs w:val="20"/>
        </w:rPr>
        <w:t>8</w:t>
      </w:r>
      <w:r>
        <w:rPr>
          <w:rFonts w:ascii="Arial" w:hAnsi="Arial" w:cs="Arial"/>
          <w:color w:val="000361"/>
          <w:sz w:val="20"/>
          <w:szCs w:val="20"/>
        </w:rPr>
        <w:t xml:space="preserve"> Percentatges horitzontals dels resultats d’explotació sectorials</w:t>
      </w:r>
    </w:p>
    <w:p w:rsidR="00A2635F" w:rsidRDefault="00A2635F" w:rsidP="002D48FA">
      <w:pPr>
        <w:jc w:val="both"/>
        <w:rPr>
          <w:rFonts w:ascii="Arial" w:hAnsi="Arial" w:cs="Arial"/>
          <w:color w:val="000361"/>
          <w:sz w:val="20"/>
          <w:szCs w:val="20"/>
        </w:rPr>
      </w:pPr>
      <w:r>
        <w:rPr>
          <w:noProof/>
        </w:rPr>
        <w:drawing>
          <wp:inline distT="0" distB="0" distL="0" distR="0" wp14:anchorId="6F5C5381" wp14:editId="45B00C51">
            <wp:extent cx="5728335" cy="2703443"/>
            <wp:effectExtent l="0" t="0" r="0" b="1905"/>
            <wp:docPr id="19" name="Gráfico 19">
              <a:extLst xmlns:a="http://schemas.openxmlformats.org/drawingml/2006/main">
                <a:ext uri="{FF2B5EF4-FFF2-40B4-BE49-F238E27FC236}">
                  <a16:creationId xmlns:a16="http://schemas.microsoft.com/office/drawing/2014/main" id="{15B9DB10-9615-5D40-B26E-C1221E2973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B0349" w:rsidRPr="006F3AEA" w:rsidRDefault="006F3AEA" w:rsidP="002D48FA">
      <w:pPr>
        <w:jc w:val="both"/>
        <w:rPr>
          <w:rFonts w:ascii="Arial" w:hAnsi="Arial" w:cs="Arial"/>
          <w:color w:val="000361"/>
          <w:sz w:val="14"/>
          <w:szCs w:val="14"/>
        </w:rPr>
      </w:pPr>
      <w:r w:rsidRPr="006F3AEA">
        <w:rPr>
          <w:rFonts w:ascii="Arial" w:hAnsi="Arial" w:cs="Arial"/>
          <w:color w:val="000361"/>
          <w:sz w:val="14"/>
          <w:szCs w:val="14"/>
        </w:rPr>
        <w:t xml:space="preserve">Font: Elaboració pròpia segons taula adjunta </w:t>
      </w:r>
      <w:r w:rsidR="00F01398">
        <w:rPr>
          <w:rFonts w:ascii="Arial" w:hAnsi="Arial" w:cs="Arial"/>
          <w:color w:val="000361"/>
          <w:sz w:val="14"/>
          <w:szCs w:val="14"/>
        </w:rPr>
        <w:t>a l’annex 3.7</w:t>
      </w:r>
      <w:r w:rsidRPr="006F3AEA">
        <w:rPr>
          <w:rFonts w:ascii="Arial" w:hAnsi="Arial" w:cs="Arial"/>
          <w:color w:val="000361"/>
          <w:sz w:val="14"/>
          <w:szCs w:val="14"/>
        </w:rPr>
        <w:t>.</w:t>
      </w:r>
    </w:p>
    <w:p w:rsidR="00AB0349" w:rsidRDefault="00AB0349" w:rsidP="002D48FA">
      <w:pPr>
        <w:jc w:val="both"/>
        <w:rPr>
          <w:rFonts w:ascii="Arial" w:hAnsi="Arial" w:cs="Arial"/>
          <w:color w:val="000361"/>
          <w:sz w:val="20"/>
          <w:szCs w:val="20"/>
        </w:rPr>
      </w:pPr>
    </w:p>
    <w:p w:rsidR="00A2635F" w:rsidRDefault="00A82660" w:rsidP="002D48FA">
      <w:pPr>
        <w:jc w:val="both"/>
        <w:rPr>
          <w:rFonts w:ascii="Arial" w:hAnsi="Arial" w:cs="Arial"/>
          <w:color w:val="000361"/>
          <w:sz w:val="20"/>
          <w:szCs w:val="20"/>
        </w:rPr>
      </w:pPr>
      <w:r>
        <w:rPr>
          <w:rFonts w:ascii="Arial" w:hAnsi="Arial" w:cs="Arial"/>
          <w:color w:val="000361"/>
          <w:sz w:val="20"/>
          <w:szCs w:val="20"/>
        </w:rPr>
        <w:t>Amb aquest gràfic s’observa que el creixement anual del resultat d’explotació de Hipra està molt proper al patró que dibuixa la competència</w:t>
      </w:r>
      <w:r w:rsidR="00A0125C">
        <w:rPr>
          <w:rFonts w:ascii="Arial" w:hAnsi="Arial" w:cs="Arial"/>
          <w:color w:val="000361"/>
          <w:sz w:val="20"/>
          <w:szCs w:val="20"/>
        </w:rPr>
        <w:t xml:space="preserve"> llevat de la variació percentual del 2016 respecte l’any anterior on l</w:t>
      </w:r>
      <w:r>
        <w:rPr>
          <w:rFonts w:ascii="Arial" w:hAnsi="Arial" w:cs="Arial"/>
          <w:color w:val="000361"/>
          <w:sz w:val="20"/>
          <w:szCs w:val="20"/>
        </w:rPr>
        <w:t>a mitjana esdevé especialment alta pel comportament de Virbac i Zoetis que obtenen unes variacions</w:t>
      </w:r>
      <w:r w:rsidR="000408AB">
        <w:rPr>
          <w:rFonts w:ascii="Arial" w:hAnsi="Arial" w:cs="Arial"/>
          <w:color w:val="000361"/>
          <w:sz w:val="20"/>
          <w:szCs w:val="20"/>
        </w:rPr>
        <w:t xml:space="preserve"> extraordinàries </w:t>
      </w:r>
      <w:r w:rsidR="00A0125C">
        <w:rPr>
          <w:rFonts w:ascii="Arial" w:hAnsi="Arial" w:cs="Arial"/>
          <w:color w:val="000361"/>
          <w:sz w:val="20"/>
          <w:szCs w:val="20"/>
        </w:rPr>
        <w:t>respecte</w:t>
      </w:r>
      <w:r w:rsidR="000408AB">
        <w:rPr>
          <w:rFonts w:ascii="Arial" w:hAnsi="Arial" w:cs="Arial"/>
          <w:color w:val="000361"/>
          <w:sz w:val="20"/>
          <w:szCs w:val="20"/>
        </w:rPr>
        <w:t xml:space="preserve"> el comportament </w:t>
      </w:r>
      <w:r w:rsidR="00A0125C">
        <w:rPr>
          <w:rFonts w:ascii="Arial" w:hAnsi="Arial" w:cs="Arial"/>
          <w:color w:val="000361"/>
          <w:sz w:val="20"/>
          <w:szCs w:val="20"/>
        </w:rPr>
        <w:t>de la resta de competidors</w:t>
      </w:r>
      <w:r w:rsidR="000408AB">
        <w:rPr>
          <w:rFonts w:ascii="Arial" w:hAnsi="Arial" w:cs="Arial"/>
          <w:color w:val="000361"/>
          <w:sz w:val="20"/>
          <w:szCs w:val="20"/>
        </w:rPr>
        <w:t xml:space="preserve"> del sector. Virbac mostra una evolució dels resultats d’explotació molt irregular i diferent a la resta de competidors.</w:t>
      </w:r>
    </w:p>
    <w:p w:rsidR="008A5C74" w:rsidRPr="006F3AEA" w:rsidRDefault="008A5C74" w:rsidP="006F3AEA">
      <w:pPr>
        <w:jc w:val="both"/>
        <w:rPr>
          <w:rFonts w:ascii="Arial" w:hAnsi="Arial" w:cs="Arial"/>
          <w:i/>
          <w:color w:val="000361"/>
          <w:sz w:val="20"/>
          <w:szCs w:val="20"/>
        </w:rPr>
      </w:pPr>
    </w:p>
    <w:p w:rsidR="00AB0349" w:rsidRPr="006F3AEA" w:rsidRDefault="003828A4" w:rsidP="00E60ED6">
      <w:pPr>
        <w:pStyle w:val="Prrafodelista"/>
        <w:numPr>
          <w:ilvl w:val="0"/>
          <w:numId w:val="24"/>
        </w:numPr>
        <w:jc w:val="both"/>
        <w:rPr>
          <w:rFonts w:ascii="Arial" w:hAnsi="Arial" w:cs="Arial"/>
          <w:i/>
          <w:color w:val="002060"/>
          <w:sz w:val="20"/>
          <w:szCs w:val="20"/>
        </w:rPr>
      </w:pPr>
      <w:r w:rsidRPr="006F3AEA">
        <w:rPr>
          <w:rFonts w:ascii="Arial" w:hAnsi="Arial" w:cs="Arial"/>
          <w:i/>
          <w:color w:val="002060"/>
          <w:sz w:val="20"/>
          <w:szCs w:val="20"/>
        </w:rPr>
        <w:lastRenderedPageBreak/>
        <w:t xml:space="preserve">Ràtio de </w:t>
      </w:r>
      <w:r w:rsidR="00E60ED6" w:rsidRPr="006F3AEA">
        <w:rPr>
          <w:rFonts w:ascii="Arial" w:hAnsi="Arial" w:cs="Arial"/>
          <w:i/>
          <w:color w:val="002060"/>
          <w:sz w:val="20"/>
          <w:szCs w:val="20"/>
        </w:rPr>
        <w:t>Liquiditat</w:t>
      </w:r>
      <w:r w:rsidRPr="006F3AEA">
        <w:rPr>
          <w:rFonts w:ascii="Arial" w:hAnsi="Arial" w:cs="Arial"/>
          <w:i/>
          <w:color w:val="002060"/>
          <w:sz w:val="20"/>
          <w:szCs w:val="20"/>
        </w:rPr>
        <w:t xml:space="preserve"> sectorial</w:t>
      </w:r>
      <w:r w:rsidR="00E60ED6" w:rsidRPr="006F3AEA">
        <w:rPr>
          <w:rFonts w:ascii="Arial" w:hAnsi="Arial" w:cs="Arial"/>
          <w:i/>
          <w:color w:val="002060"/>
          <w:sz w:val="20"/>
          <w:szCs w:val="20"/>
        </w:rPr>
        <w:t>:</w:t>
      </w:r>
    </w:p>
    <w:p w:rsidR="003828A4" w:rsidRDefault="003828A4" w:rsidP="003828A4">
      <w:pPr>
        <w:jc w:val="both"/>
        <w:rPr>
          <w:rFonts w:ascii="Arial" w:hAnsi="Arial" w:cs="Arial"/>
          <w:i/>
          <w:color w:val="000361"/>
          <w:sz w:val="20"/>
          <w:szCs w:val="20"/>
        </w:rPr>
      </w:pPr>
    </w:p>
    <w:p w:rsidR="001A6EA5" w:rsidRDefault="001A6EA5" w:rsidP="001A6EA5">
      <w:pPr>
        <w:jc w:val="both"/>
        <w:rPr>
          <w:rFonts w:ascii="Arial" w:hAnsi="Arial" w:cs="Arial"/>
          <w:color w:val="000361"/>
          <w:sz w:val="20"/>
          <w:szCs w:val="20"/>
        </w:rPr>
      </w:pPr>
      <w:r>
        <w:rPr>
          <w:rFonts w:ascii="Arial" w:hAnsi="Arial" w:cs="Arial"/>
          <w:color w:val="000361"/>
          <w:sz w:val="20"/>
          <w:szCs w:val="20"/>
        </w:rPr>
        <w:t>Neogen obté valors molt dispars respecte les altres empreses del sector analitzades i en conseqüència s’ha realitzat el càlcul de la mitjana sectorial sense tenir-lo en compte.</w:t>
      </w:r>
    </w:p>
    <w:p w:rsidR="001A6EA5" w:rsidRDefault="001A6EA5" w:rsidP="001A6EA5">
      <w:pPr>
        <w:jc w:val="both"/>
        <w:rPr>
          <w:rFonts w:ascii="Arial" w:hAnsi="Arial" w:cs="Arial"/>
          <w:color w:val="000361"/>
          <w:sz w:val="20"/>
          <w:szCs w:val="20"/>
        </w:rPr>
      </w:pPr>
    </w:p>
    <w:p w:rsidR="001A6EA5" w:rsidRPr="00A0125C" w:rsidRDefault="001A6EA5" w:rsidP="001A6EA5">
      <w:pPr>
        <w:jc w:val="both"/>
        <w:rPr>
          <w:rFonts w:ascii="Arial" w:hAnsi="Arial" w:cs="Arial"/>
          <w:color w:val="000361"/>
          <w:sz w:val="20"/>
          <w:szCs w:val="20"/>
        </w:rPr>
      </w:pPr>
      <w:r>
        <w:rPr>
          <w:rFonts w:ascii="Arial" w:hAnsi="Arial" w:cs="Arial"/>
          <w:color w:val="000361"/>
          <w:sz w:val="20"/>
          <w:szCs w:val="20"/>
        </w:rPr>
        <w:t xml:space="preserve">En termes de liquiditat Laboratoris Hipra es troba amb valors propers a 2, lleugerament per sobre la mitjana sectorial i similars a les empreses Zoetis i Phibro. Neogen obté valors de la ràtio de liquiditat molt superiors a la resta donat que té molta tresoreria i altres efectius de liquiditat immediata en relació als passius corrents, que són molt pocs. Idexx i Virbac són les empreses que estan en pitjor lloc en termes de liquiditat perquè els valors obtinguts amb la ràtio són inferiors a “1”. En general, tal i com indica la mitjana sectorial, es produeix un ajustament a la baixa de la liquiditat de les empreses del sector en els tres últims exercicis </w:t>
      </w:r>
      <w:r w:rsidR="00DD6C12">
        <w:rPr>
          <w:rFonts w:ascii="Arial" w:hAnsi="Arial" w:cs="Arial"/>
          <w:color w:val="000361"/>
          <w:sz w:val="20"/>
          <w:szCs w:val="20"/>
        </w:rPr>
        <w:t xml:space="preserve">mentre que </w:t>
      </w:r>
      <w:r>
        <w:rPr>
          <w:rFonts w:ascii="Arial" w:hAnsi="Arial" w:cs="Arial"/>
          <w:color w:val="000361"/>
          <w:sz w:val="20"/>
          <w:szCs w:val="20"/>
        </w:rPr>
        <w:t>a</w:t>
      </w:r>
      <w:r w:rsidR="00DD6C12">
        <w:rPr>
          <w:rFonts w:ascii="Arial" w:hAnsi="Arial" w:cs="Arial"/>
          <w:color w:val="000361"/>
          <w:sz w:val="20"/>
          <w:szCs w:val="20"/>
        </w:rPr>
        <w:t>mb</w:t>
      </w:r>
      <w:r>
        <w:rPr>
          <w:rFonts w:ascii="Arial" w:hAnsi="Arial" w:cs="Arial"/>
          <w:color w:val="000361"/>
          <w:sz w:val="20"/>
          <w:szCs w:val="20"/>
        </w:rPr>
        <w:t xml:space="preserve"> Hipra la liquiditat ha anat disminuït progressivament en aquests 5 exercicis.</w:t>
      </w:r>
    </w:p>
    <w:p w:rsidR="001A6EA5" w:rsidRPr="001A6EA5" w:rsidRDefault="001A6EA5" w:rsidP="003828A4">
      <w:pPr>
        <w:jc w:val="both"/>
        <w:rPr>
          <w:rFonts w:ascii="Arial" w:hAnsi="Arial" w:cs="Arial"/>
          <w:color w:val="000361"/>
          <w:sz w:val="20"/>
          <w:szCs w:val="20"/>
        </w:rPr>
      </w:pPr>
    </w:p>
    <w:p w:rsidR="001A6EA5" w:rsidRDefault="001A6EA5" w:rsidP="003828A4">
      <w:pPr>
        <w:jc w:val="both"/>
        <w:rPr>
          <w:rFonts w:ascii="Arial" w:hAnsi="Arial" w:cs="Arial"/>
          <w:i/>
          <w:color w:val="000361"/>
          <w:sz w:val="20"/>
          <w:szCs w:val="20"/>
        </w:rPr>
      </w:pPr>
    </w:p>
    <w:p w:rsidR="003828A4" w:rsidRPr="006F3AEA" w:rsidRDefault="006F3AEA" w:rsidP="003828A4">
      <w:pPr>
        <w:jc w:val="both"/>
        <w:rPr>
          <w:rFonts w:ascii="Arial" w:hAnsi="Arial" w:cs="Arial"/>
          <w:color w:val="002060"/>
          <w:sz w:val="20"/>
          <w:szCs w:val="20"/>
        </w:rPr>
      </w:pPr>
      <w:r w:rsidRPr="006F3AEA">
        <w:rPr>
          <w:rFonts w:ascii="Arial" w:hAnsi="Arial" w:cs="Arial"/>
          <w:color w:val="002060"/>
          <w:sz w:val="20"/>
          <w:szCs w:val="20"/>
        </w:rPr>
        <w:t>Gràfic 3.</w:t>
      </w:r>
      <w:r w:rsidR="004A3E53">
        <w:rPr>
          <w:rFonts w:ascii="Arial" w:hAnsi="Arial" w:cs="Arial"/>
          <w:color w:val="002060"/>
          <w:sz w:val="20"/>
          <w:szCs w:val="20"/>
        </w:rPr>
        <w:t>9</w:t>
      </w:r>
      <w:r w:rsidRPr="006F3AEA">
        <w:rPr>
          <w:rFonts w:ascii="Arial" w:hAnsi="Arial" w:cs="Arial"/>
          <w:color w:val="002060"/>
          <w:sz w:val="20"/>
          <w:szCs w:val="20"/>
        </w:rPr>
        <w:t xml:space="preserve"> Ràtio de liquiditat sectorial pels exercicis 2015-2019</w:t>
      </w:r>
    </w:p>
    <w:p w:rsidR="003828A4" w:rsidRPr="003828A4" w:rsidRDefault="00DA2481" w:rsidP="003828A4">
      <w:pPr>
        <w:jc w:val="both"/>
        <w:rPr>
          <w:rFonts w:ascii="Arial" w:hAnsi="Arial" w:cs="Arial"/>
          <w:color w:val="000361"/>
          <w:sz w:val="20"/>
          <w:szCs w:val="20"/>
        </w:rPr>
      </w:pPr>
      <w:r>
        <w:rPr>
          <w:noProof/>
        </w:rPr>
        <w:drawing>
          <wp:inline distT="0" distB="0" distL="0" distR="0" wp14:anchorId="199CB547" wp14:editId="451ADEBA">
            <wp:extent cx="5568950" cy="3028122"/>
            <wp:effectExtent l="0" t="0" r="0" b="0"/>
            <wp:docPr id="15" name="Gráfico 15">
              <a:extLst xmlns:a="http://schemas.openxmlformats.org/drawingml/2006/main">
                <a:ext uri="{FF2B5EF4-FFF2-40B4-BE49-F238E27FC236}">
                  <a16:creationId xmlns:a16="http://schemas.microsoft.com/office/drawing/2014/main" id="{1CEA835B-BB0B-A94A-86BA-8E852ACCA5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828A4" w:rsidRPr="006F3AEA" w:rsidRDefault="006F3AEA" w:rsidP="003828A4">
      <w:pPr>
        <w:jc w:val="both"/>
        <w:rPr>
          <w:rFonts w:ascii="Arial" w:hAnsi="Arial" w:cs="Arial"/>
          <w:color w:val="002060"/>
          <w:sz w:val="14"/>
          <w:szCs w:val="14"/>
        </w:rPr>
      </w:pPr>
      <w:r w:rsidRPr="006F3AEA">
        <w:rPr>
          <w:rFonts w:ascii="Arial" w:hAnsi="Arial" w:cs="Arial"/>
          <w:color w:val="002060"/>
          <w:sz w:val="14"/>
          <w:szCs w:val="14"/>
        </w:rPr>
        <w:t>Font:</w:t>
      </w:r>
      <w:r w:rsidR="005F79DA" w:rsidRPr="006F3AEA">
        <w:rPr>
          <w:rFonts w:ascii="Arial" w:hAnsi="Arial" w:cs="Arial"/>
          <w:color w:val="002060"/>
          <w:sz w:val="14"/>
          <w:szCs w:val="14"/>
        </w:rPr>
        <w:t xml:space="preserve"> És una representació gràfica de la taula d’elaboració pròpia adjunta </w:t>
      </w:r>
      <w:r w:rsidR="00F01398">
        <w:rPr>
          <w:rFonts w:ascii="Arial" w:hAnsi="Arial" w:cs="Arial"/>
          <w:color w:val="002060"/>
          <w:sz w:val="14"/>
          <w:szCs w:val="14"/>
        </w:rPr>
        <w:t>a l’annex 3.8</w:t>
      </w:r>
      <w:r w:rsidR="005F79DA" w:rsidRPr="006F3AEA">
        <w:rPr>
          <w:rFonts w:ascii="Arial" w:hAnsi="Arial" w:cs="Arial"/>
          <w:color w:val="002060"/>
          <w:sz w:val="14"/>
          <w:szCs w:val="14"/>
        </w:rPr>
        <w:t>.</w:t>
      </w:r>
      <w:r w:rsidR="00DA2481" w:rsidRPr="006F3AEA">
        <w:rPr>
          <w:rFonts w:ascii="Arial" w:hAnsi="Arial" w:cs="Arial"/>
          <w:color w:val="002060"/>
          <w:sz w:val="14"/>
          <w:szCs w:val="14"/>
        </w:rPr>
        <w:t xml:space="preserve"> (*) Perquè la mitjana sigui més representativa del sector s’ha exclòs Neogen d’aquest càlcul.</w:t>
      </w:r>
    </w:p>
    <w:p w:rsidR="003828A4" w:rsidRDefault="003828A4" w:rsidP="003828A4">
      <w:pPr>
        <w:jc w:val="both"/>
        <w:rPr>
          <w:rFonts w:ascii="Arial" w:hAnsi="Arial" w:cs="Arial"/>
          <w:i/>
          <w:color w:val="000361"/>
          <w:sz w:val="20"/>
          <w:szCs w:val="20"/>
        </w:rPr>
      </w:pPr>
    </w:p>
    <w:p w:rsidR="008A5C74" w:rsidRPr="006F3AEA" w:rsidRDefault="008A5C74" w:rsidP="006F3AEA">
      <w:pPr>
        <w:jc w:val="both"/>
        <w:rPr>
          <w:rFonts w:ascii="Arial" w:hAnsi="Arial" w:cs="Arial"/>
          <w:i/>
          <w:color w:val="000361"/>
          <w:sz w:val="20"/>
          <w:szCs w:val="20"/>
        </w:rPr>
      </w:pPr>
    </w:p>
    <w:p w:rsidR="00E60ED6" w:rsidRDefault="005F79DA" w:rsidP="00E45480">
      <w:pPr>
        <w:pStyle w:val="Prrafodelista"/>
        <w:numPr>
          <w:ilvl w:val="0"/>
          <w:numId w:val="24"/>
        </w:numPr>
        <w:jc w:val="both"/>
        <w:rPr>
          <w:rFonts w:ascii="Arial" w:hAnsi="Arial" w:cs="Arial"/>
          <w:i/>
          <w:color w:val="000361"/>
          <w:sz w:val="20"/>
          <w:szCs w:val="20"/>
        </w:rPr>
      </w:pPr>
      <w:r>
        <w:rPr>
          <w:rFonts w:ascii="Arial" w:hAnsi="Arial" w:cs="Arial"/>
          <w:i/>
          <w:color w:val="000361"/>
          <w:sz w:val="20"/>
          <w:szCs w:val="20"/>
        </w:rPr>
        <w:t>Ràtio d’e</w:t>
      </w:r>
      <w:r w:rsidR="00E45480" w:rsidRPr="003828A4">
        <w:rPr>
          <w:rFonts w:ascii="Arial" w:hAnsi="Arial" w:cs="Arial"/>
          <w:i/>
          <w:color w:val="000361"/>
          <w:sz w:val="20"/>
          <w:szCs w:val="20"/>
        </w:rPr>
        <w:t>ndeutament:</w:t>
      </w:r>
    </w:p>
    <w:p w:rsidR="005F79DA" w:rsidRDefault="005F79DA" w:rsidP="005F79DA">
      <w:pPr>
        <w:jc w:val="both"/>
        <w:rPr>
          <w:rFonts w:ascii="Arial" w:hAnsi="Arial" w:cs="Arial"/>
          <w:i/>
          <w:color w:val="000361"/>
          <w:sz w:val="20"/>
          <w:szCs w:val="20"/>
        </w:rPr>
      </w:pPr>
    </w:p>
    <w:p w:rsidR="001A6EA5" w:rsidRDefault="001A6EA5" w:rsidP="001A6EA5">
      <w:pPr>
        <w:jc w:val="both"/>
        <w:rPr>
          <w:rFonts w:ascii="Arial" w:hAnsi="Arial" w:cs="Arial"/>
          <w:color w:val="000361"/>
          <w:sz w:val="20"/>
          <w:szCs w:val="20"/>
        </w:rPr>
      </w:pPr>
      <w:r>
        <w:rPr>
          <w:rFonts w:ascii="Arial" w:hAnsi="Arial" w:cs="Arial"/>
          <w:color w:val="000361"/>
          <w:sz w:val="20"/>
          <w:szCs w:val="20"/>
        </w:rPr>
        <w:t xml:space="preserve">La ràtio endeutament obté valors clarament negatius en l’empresa Idexx perquè té un fons de patrimoni negatiu, aquests fet té una gran afectació amb el càlcul de la mitjana sectorial i es dóna per suposat que no s’ajusta a la realitat d’aquest. És per aquest motiu, que s’ha decidit incorporar-lo gràficament però </w:t>
      </w:r>
      <w:r w:rsidR="00DD6C12">
        <w:rPr>
          <w:rFonts w:ascii="Arial" w:hAnsi="Arial" w:cs="Arial"/>
          <w:color w:val="000361"/>
          <w:sz w:val="20"/>
          <w:szCs w:val="20"/>
        </w:rPr>
        <w:t>obviar-lo</w:t>
      </w:r>
      <w:r>
        <w:rPr>
          <w:rFonts w:ascii="Arial" w:hAnsi="Arial" w:cs="Arial"/>
          <w:color w:val="000361"/>
          <w:sz w:val="20"/>
          <w:szCs w:val="20"/>
        </w:rPr>
        <w:t xml:space="preserve"> en la configuració de la mitjana</w:t>
      </w:r>
      <w:r w:rsidR="00DD6C12">
        <w:rPr>
          <w:rFonts w:ascii="Arial" w:hAnsi="Arial" w:cs="Arial"/>
          <w:color w:val="000361"/>
          <w:sz w:val="20"/>
          <w:szCs w:val="20"/>
        </w:rPr>
        <w:t xml:space="preserve"> del sector</w:t>
      </w:r>
      <w:r>
        <w:rPr>
          <w:rFonts w:ascii="Arial" w:hAnsi="Arial" w:cs="Arial"/>
          <w:color w:val="000361"/>
          <w:sz w:val="20"/>
          <w:szCs w:val="20"/>
        </w:rPr>
        <w:t xml:space="preserve">. </w:t>
      </w:r>
    </w:p>
    <w:p w:rsidR="001A6EA5" w:rsidRDefault="001A6EA5" w:rsidP="001A6EA5">
      <w:pPr>
        <w:jc w:val="both"/>
        <w:rPr>
          <w:rFonts w:ascii="Arial" w:hAnsi="Arial" w:cs="Arial"/>
          <w:color w:val="000361"/>
          <w:sz w:val="20"/>
          <w:szCs w:val="20"/>
        </w:rPr>
      </w:pPr>
    </w:p>
    <w:p w:rsidR="001A6EA5" w:rsidRDefault="001A6EA5" w:rsidP="001A6EA5">
      <w:pPr>
        <w:jc w:val="both"/>
        <w:rPr>
          <w:rFonts w:ascii="Arial" w:hAnsi="Arial" w:cs="Arial"/>
          <w:color w:val="000361"/>
          <w:sz w:val="20"/>
          <w:szCs w:val="20"/>
        </w:rPr>
      </w:pPr>
      <w:r>
        <w:rPr>
          <w:rFonts w:ascii="Arial" w:hAnsi="Arial" w:cs="Arial"/>
          <w:color w:val="000361"/>
          <w:sz w:val="20"/>
          <w:szCs w:val="20"/>
        </w:rPr>
        <w:t xml:space="preserve">La ràtio d’endeutament de Laboratoris Hipra i també de Neogen és propera a “0” i inferior a la mitjana donat que l’empresa es finança principalment amb fons propis i en conseqüència estan molt poc endeutades. Aquest nivell d’endeutament és significativament inferior a empreses com Zoetis, Phibro i també Virbac, encara que aquesta última té uns nivells d’endeutament molt ajustats a la mitjana sectorial. </w:t>
      </w:r>
    </w:p>
    <w:p w:rsidR="001A6EA5" w:rsidRDefault="001A6EA5" w:rsidP="005F79DA">
      <w:pPr>
        <w:jc w:val="both"/>
        <w:rPr>
          <w:rFonts w:ascii="Arial" w:hAnsi="Arial" w:cs="Arial"/>
          <w:color w:val="000361"/>
          <w:sz w:val="20"/>
          <w:szCs w:val="20"/>
        </w:rPr>
      </w:pPr>
    </w:p>
    <w:p w:rsidR="001A6EA5" w:rsidRDefault="001A6EA5" w:rsidP="005F79DA">
      <w:pPr>
        <w:jc w:val="both"/>
        <w:rPr>
          <w:rFonts w:ascii="Arial" w:hAnsi="Arial" w:cs="Arial"/>
          <w:color w:val="000361"/>
          <w:sz w:val="20"/>
          <w:szCs w:val="20"/>
        </w:rPr>
      </w:pPr>
    </w:p>
    <w:p w:rsidR="001A6EA5" w:rsidRDefault="001A6EA5" w:rsidP="005F79DA">
      <w:pPr>
        <w:jc w:val="both"/>
        <w:rPr>
          <w:rFonts w:ascii="Arial" w:hAnsi="Arial" w:cs="Arial"/>
          <w:color w:val="000361"/>
          <w:sz w:val="20"/>
          <w:szCs w:val="20"/>
        </w:rPr>
      </w:pPr>
    </w:p>
    <w:p w:rsidR="001A6EA5" w:rsidRDefault="001A6EA5" w:rsidP="005F79DA">
      <w:pPr>
        <w:jc w:val="both"/>
        <w:rPr>
          <w:rFonts w:ascii="Arial" w:hAnsi="Arial" w:cs="Arial"/>
          <w:color w:val="000361"/>
          <w:sz w:val="20"/>
          <w:szCs w:val="20"/>
        </w:rPr>
      </w:pPr>
    </w:p>
    <w:p w:rsidR="001A6EA5" w:rsidRDefault="001A6EA5" w:rsidP="005F79DA">
      <w:pPr>
        <w:jc w:val="both"/>
        <w:rPr>
          <w:rFonts w:ascii="Arial" w:hAnsi="Arial" w:cs="Arial"/>
          <w:color w:val="000361"/>
          <w:sz w:val="20"/>
          <w:szCs w:val="20"/>
        </w:rPr>
      </w:pPr>
    </w:p>
    <w:p w:rsidR="001A6EA5" w:rsidRDefault="001A6EA5" w:rsidP="005F79DA">
      <w:pPr>
        <w:jc w:val="both"/>
        <w:rPr>
          <w:rFonts w:ascii="Arial" w:hAnsi="Arial" w:cs="Arial"/>
          <w:color w:val="000361"/>
          <w:sz w:val="20"/>
          <w:szCs w:val="20"/>
        </w:rPr>
      </w:pPr>
    </w:p>
    <w:p w:rsidR="001A6EA5" w:rsidRDefault="001A6EA5" w:rsidP="005F79DA">
      <w:pPr>
        <w:jc w:val="both"/>
        <w:rPr>
          <w:rFonts w:ascii="Arial" w:hAnsi="Arial" w:cs="Arial"/>
          <w:color w:val="000361"/>
          <w:sz w:val="20"/>
          <w:szCs w:val="20"/>
        </w:rPr>
      </w:pPr>
    </w:p>
    <w:p w:rsidR="001A6EA5" w:rsidRPr="001A6EA5" w:rsidRDefault="001A6EA5" w:rsidP="005F79DA">
      <w:pPr>
        <w:jc w:val="both"/>
        <w:rPr>
          <w:rFonts w:ascii="Arial" w:hAnsi="Arial" w:cs="Arial"/>
          <w:color w:val="000361"/>
          <w:sz w:val="20"/>
          <w:szCs w:val="20"/>
        </w:rPr>
      </w:pPr>
    </w:p>
    <w:p w:rsidR="001A6EA5" w:rsidRDefault="001A6EA5" w:rsidP="005F79DA">
      <w:pPr>
        <w:jc w:val="both"/>
        <w:rPr>
          <w:rFonts w:ascii="Arial" w:hAnsi="Arial" w:cs="Arial"/>
          <w:i/>
          <w:color w:val="000361"/>
          <w:sz w:val="20"/>
          <w:szCs w:val="20"/>
        </w:rPr>
      </w:pPr>
    </w:p>
    <w:p w:rsidR="006F3AEA" w:rsidRPr="006F3AEA" w:rsidRDefault="006F3AEA" w:rsidP="005F79DA">
      <w:pPr>
        <w:jc w:val="both"/>
        <w:rPr>
          <w:rFonts w:ascii="Arial" w:hAnsi="Arial" w:cs="Arial"/>
          <w:color w:val="002060"/>
          <w:sz w:val="20"/>
          <w:szCs w:val="20"/>
        </w:rPr>
      </w:pPr>
      <w:r>
        <w:rPr>
          <w:rFonts w:ascii="Arial" w:hAnsi="Arial" w:cs="Arial"/>
          <w:color w:val="002060"/>
          <w:sz w:val="20"/>
          <w:szCs w:val="20"/>
        </w:rPr>
        <w:t>Gràfic 3.</w:t>
      </w:r>
      <w:r w:rsidR="004A3E53">
        <w:rPr>
          <w:rFonts w:ascii="Arial" w:hAnsi="Arial" w:cs="Arial"/>
          <w:color w:val="002060"/>
          <w:sz w:val="20"/>
          <w:szCs w:val="20"/>
        </w:rPr>
        <w:t>10</w:t>
      </w:r>
      <w:r>
        <w:rPr>
          <w:rFonts w:ascii="Arial" w:hAnsi="Arial" w:cs="Arial"/>
          <w:color w:val="002060"/>
          <w:sz w:val="20"/>
          <w:szCs w:val="20"/>
        </w:rPr>
        <w:t xml:space="preserve"> Ràtio d’endeutament sectorial amb detall gràfic ampliat pels anys 2015 al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84"/>
        <w:gridCol w:w="4337"/>
      </w:tblGrid>
      <w:tr w:rsidR="006F3AEA" w:rsidTr="001A6EA5">
        <w:trPr>
          <w:trHeight w:val="3541"/>
        </w:trPr>
        <w:tc>
          <w:tcPr>
            <w:tcW w:w="3335" w:type="dxa"/>
          </w:tcPr>
          <w:p w:rsidR="000D1623" w:rsidRDefault="009D388F" w:rsidP="005F79DA">
            <w:pPr>
              <w:jc w:val="both"/>
              <w:rPr>
                <w:rFonts w:ascii="Arial" w:hAnsi="Arial" w:cs="Arial"/>
                <w:i/>
                <w:color w:val="000361"/>
                <w:sz w:val="20"/>
                <w:szCs w:val="20"/>
              </w:rPr>
            </w:pPr>
            <w:r>
              <w:rPr>
                <w:noProof/>
              </w:rPr>
              <w:drawing>
                <wp:inline distT="0" distB="0" distL="0" distR="0" wp14:anchorId="5A04DDD9" wp14:editId="63199A5F">
                  <wp:extent cx="2887842" cy="2099945"/>
                  <wp:effectExtent l="0" t="0" r="0" b="0"/>
                  <wp:docPr id="20" name="Gráfico 20">
                    <a:extLst xmlns:a="http://schemas.openxmlformats.org/drawingml/2006/main">
                      <a:ext uri="{FF2B5EF4-FFF2-40B4-BE49-F238E27FC236}">
                        <a16:creationId xmlns:a16="http://schemas.microsoft.com/office/drawing/2014/main" id="{CF8E08B8-A885-274B-941E-CB75C94E6A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5686" w:type="dxa"/>
          </w:tcPr>
          <w:p w:rsidR="000D1623" w:rsidRDefault="009D388F" w:rsidP="005F79DA">
            <w:pPr>
              <w:jc w:val="both"/>
              <w:rPr>
                <w:rFonts w:ascii="Arial" w:hAnsi="Arial" w:cs="Arial"/>
                <w:i/>
                <w:color w:val="000361"/>
                <w:sz w:val="20"/>
                <w:szCs w:val="20"/>
              </w:rPr>
            </w:pPr>
            <w:r>
              <w:rPr>
                <w:noProof/>
              </w:rPr>
              <w:drawing>
                <wp:inline distT="0" distB="0" distL="0" distR="0" wp14:anchorId="76197932" wp14:editId="480F1781">
                  <wp:extent cx="2662555" cy="2099945"/>
                  <wp:effectExtent l="0" t="0" r="4445" b="0"/>
                  <wp:docPr id="21" name="Gráfico 21">
                    <a:extLst xmlns:a="http://schemas.openxmlformats.org/drawingml/2006/main">
                      <a:ext uri="{FF2B5EF4-FFF2-40B4-BE49-F238E27FC236}">
                        <a16:creationId xmlns:a16="http://schemas.microsoft.com/office/drawing/2014/main" id="{3CAE241E-6AF6-1045-8EC8-BBC20DCE24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bl>
    <w:p w:rsidR="005F79DA" w:rsidRPr="001A6EA5" w:rsidRDefault="001A6EA5" w:rsidP="005F79DA">
      <w:pPr>
        <w:jc w:val="both"/>
        <w:rPr>
          <w:rFonts w:ascii="Arial" w:hAnsi="Arial" w:cs="Arial"/>
          <w:color w:val="002060"/>
          <w:sz w:val="14"/>
          <w:szCs w:val="14"/>
        </w:rPr>
      </w:pPr>
      <w:r w:rsidRPr="001A6EA5">
        <w:rPr>
          <w:rFonts w:ascii="Arial" w:hAnsi="Arial" w:cs="Arial"/>
          <w:color w:val="002060"/>
          <w:sz w:val="14"/>
          <w:szCs w:val="14"/>
        </w:rPr>
        <w:t>Font:</w:t>
      </w:r>
      <w:r w:rsidR="000D1623" w:rsidRPr="001A6EA5">
        <w:rPr>
          <w:rFonts w:ascii="Arial" w:hAnsi="Arial" w:cs="Arial"/>
          <w:color w:val="002060"/>
          <w:sz w:val="14"/>
          <w:szCs w:val="14"/>
        </w:rPr>
        <w:t xml:space="preserve"> És una representació gràfica de la taula elaborada personalment que es pot consultar </w:t>
      </w:r>
      <w:r w:rsidR="00F01398">
        <w:rPr>
          <w:rFonts w:ascii="Arial" w:hAnsi="Arial" w:cs="Arial"/>
          <w:color w:val="002060"/>
          <w:sz w:val="14"/>
          <w:szCs w:val="14"/>
        </w:rPr>
        <w:t>a l’annex 3.9</w:t>
      </w:r>
      <w:r w:rsidR="000D1623" w:rsidRPr="001A6EA5">
        <w:rPr>
          <w:rFonts w:ascii="Arial" w:hAnsi="Arial" w:cs="Arial"/>
          <w:color w:val="002060"/>
          <w:sz w:val="14"/>
          <w:szCs w:val="14"/>
        </w:rPr>
        <w:t>.</w:t>
      </w:r>
      <w:r w:rsidR="00B56197" w:rsidRPr="001A6EA5">
        <w:rPr>
          <w:rFonts w:ascii="Arial" w:hAnsi="Arial" w:cs="Arial"/>
          <w:color w:val="002060"/>
          <w:sz w:val="14"/>
          <w:szCs w:val="14"/>
        </w:rPr>
        <w:t xml:space="preserve"> (*) Perquè la mitjana sigui més representativa del sector s’ha exclòs IDEXX d’aquest càlcul.</w:t>
      </w:r>
    </w:p>
    <w:p w:rsidR="005F79DA" w:rsidRDefault="005F79DA" w:rsidP="005F79DA">
      <w:pPr>
        <w:jc w:val="both"/>
        <w:rPr>
          <w:rFonts w:ascii="Arial" w:hAnsi="Arial" w:cs="Arial"/>
          <w:color w:val="000361"/>
          <w:sz w:val="20"/>
          <w:szCs w:val="20"/>
        </w:rPr>
      </w:pPr>
    </w:p>
    <w:p w:rsidR="008A5C74" w:rsidRPr="001A6EA5" w:rsidRDefault="008A5C74" w:rsidP="001A6EA5">
      <w:pPr>
        <w:jc w:val="both"/>
        <w:rPr>
          <w:rFonts w:ascii="Arial" w:hAnsi="Arial" w:cs="Arial"/>
          <w:i/>
          <w:color w:val="000361"/>
          <w:sz w:val="20"/>
          <w:szCs w:val="20"/>
        </w:rPr>
      </w:pPr>
    </w:p>
    <w:p w:rsidR="005F79DA" w:rsidRDefault="000D1623" w:rsidP="000D1623">
      <w:pPr>
        <w:pStyle w:val="Prrafodelista"/>
        <w:numPr>
          <w:ilvl w:val="0"/>
          <w:numId w:val="24"/>
        </w:numPr>
        <w:jc w:val="both"/>
        <w:rPr>
          <w:rFonts w:ascii="Arial" w:hAnsi="Arial" w:cs="Arial"/>
          <w:i/>
          <w:color w:val="000361"/>
          <w:sz w:val="20"/>
          <w:szCs w:val="20"/>
        </w:rPr>
      </w:pPr>
      <w:r>
        <w:rPr>
          <w:rFonts w:ascii="Arial" w:hAnsi="Arial" w:cs="Arial"/>
          <w:i/>
          <w:color w:val="000361"/>
          <w:sz w:val="20"/>
          <w:szCs w:val="20"/>
        </w:rPr>
        <w:t>Ràtio fons de maniobra:</w:t>
      </w:r>
    </w:p>
    <w:p w:rsidR="000D1623" w:rsidRDefault="000D1623" w:rsidP="000D1623">
      <w:pPr>
        <w:jc w:val="both"/>
        <w:rPr>
          <w:rFonts w:ascii="Arial" w:hAnsi="Arial" w:cs="Arial"/>
          <w:i/>
          <w:color w:val="000361"/>
          <w:sz w:val="20"/>
          <w:szCs w:val="20"/>
        </w:rPr>
      </w:pPr>
    </w:p>
    <w:p w:rsidR="001A6EA5" w:rsidRDefault="001A6EA5" w:rsidP="001A6EA5">
      <w:pPr>
        <w:jc w:val="both"/>
        <w:rPr>
          <w:rFonts w:ascii="Arial" w:hAnsi="Arial" w:cs="Arial"/>
          <w:color w:val="000361"/>
          <w:sz w:val="20"/>
          <w:szCs w:val="20"/>
        </w:rPr>
      </w:pPr>
      <w:r>
        <w:rPr>
          <w:rFonts w:ascii="Arial" w:hAnsi="Arial" w:cs="Arial"/>
          <w:color w:val="000361"/>
          <w:sz w:val="20"/>
          <w:szCs w:val="20"/>
        </w:rPr>
        <w:t xml:space="preserve">La ràtio de fons de maniobra com anteriorment ja hem vist amb la ràtio de liquiditat, l’empresa Neogen obté uns valors elevats molt allunyats als de la resta i en aquest cas també és discriminada a l’hora de realitzar el càlcul de la mitjana perquè evitar-ne resultats esbiaixats respecte al que es </w:t>
      </w:r>
      <w:r w:rsidR="006012D2">
        <w:rPr>
          <w:rFonts w:ascii="Arial" w:hAnsi="Arial" w:cs="Arial"/>
          <w:color w:val="000361"/>
          <w:sz w:val="20"/>
          <w:szCs w:val="20"/>
        </w:rPr>
        <w:t>presumeix</w:t>
      </w:r>
      <w:r>
        <w:rPr>
          <w:rFonts w:ascii="Arial" w:hAnsi="Arial" w:cs="Arial"/>
          <w:color w:val="000361"/>
          <w:sz w:val="20"/>
          <w:szCs w:val="20"/>
        </w:rPr>
        <w:t xml:space="preserve">  representatiu de la realitat sectorial. El fons de maniobra de Neogen es dóna perquè un 90% dels seus actius corrents es troben finançats per fons propis i les obligacions a curt termini tenen un pes irrellevant.</w:t>
      </w:r>
    </w:p>
    <w:p w:rsidR="001A6EA5" w:rsidRPr="004273B5" w:rsidRDefault="001A6EA5" w:rsidP="001A6EA5">
      <w:pPr>
        <w:jc w:val="both"/>
        <w:rPr>
          <w:rFonts w:ascii="Arial" w:hAnsi="Arial" w:cs="Arial"/>
          <w:color w:val="000361"/>
          <w:sz w:val="20"/>
          <w:szCs w:val="20"/>
        </w:rPr>
      </w:pPr>
    </w:p>
    <w:p w:rsidR="001A6EA5" w:rsidRDefault="001A6EA5" w:rsidP="001A6EA5">
      <w:pPr>
        <w:jc w:val="both"/>
        <w:rPr>
          <w:rFonts w:ascii="Arial" w:hAnsi="Arial" w:cs="Arial"/>
          <w:color w:val="000361"/>
          <w:sz w:val="20"/>
          <w:szCs w:val="20"/>
        </w:rPr>
      </w:pPr>
      <w:r>
        <w:rPr>
          <w:rFonts w:ascii="Arial" w:hAnsi="Arial" w:cs="Arial"/>
          <w:color w:val="000361"/>
          <w:sz w:val="20"/>
          <w:szCs w:val="20"/>
        </w:rPr>
        <w:t>Per la seva banda, Hipra té un fons de maniobra força estable amb valors de la ràtio entre 2 i 3, lleugerament superior a la mitjana i pròxims a Zoetis i Phibro, tot i que aquesta última a l’exercici 2015 partia d’una posició més compromesa. Amb nivells més baixos però també estables trobem a Idexx i Virbac que tenen valors propers a “1” indicant que el passiu corrent i l’actiu corrent es</w:t>
      </w:r>
      <w:r w:rsidR="00DD6C12">
        <w:rPr>
          <w:rFonts w:ascii="Arial" w:hAnsi="Arial" w:cs="Arial"/>
          <w:color w:val="000361"/>
          <w:sz w:val="20"/>
          <w:szCs w:val="20"/>
        </w:rPr>
        <w:t xml:space="preserve"> troben</w:t>
      </w:r>
      <w:r>
        <w:rPr>
          <w:rFonts w:ascii="Arial" w:hAnsi="Arial" w:cs="Arial"/>
          <w:color w:val="000361"/>
          <w:sz w:val="20"/>
          <w:szCs w:val="20"/>
        </w:rPr>
        <w:t xml:space="preserve"> en equilibri.</w:t>
      </w:r>
    </w:p>
    <w:p w:rsidR="001A6EA5" w:rsidRPr="001A6EA5" w:rsidRDefault="001A6EA5" w:rsidP="000D1623">
      <w:pPr>
        <w:jc w:val="both"/>
        <w:rPr>
          <w:rFonts w:ascii="Arial" w:hAnsi="Arial" w:cs="Arial"/>
          <w:color w:val="000361"/>
          <w:sz w:val="20"/>
          <w:szCs w:val="20"/>
        </w:rPr>
      </w:pPr>
    </w:p>
    <w:p w:rsidR="001A6EA5" w:rsidRDefault="001A6EA5" w:rsidP="000D1623">
      <w:pPr>
        <w:jc w:val="both"/>
        <w:rPr>
          <w:rFonts w:ascii="Arial" w:hAnsi="Arial" w:cs="Arial"/>
          <w:i/>
          <w:color w:val="000361"/>
          <w:sz w:val="20"/>
          <w:szCs w:val="20"/>
        </w:rPr>
      </w:pPr>
    </w:p>
    <w:p w:rsidR="001A6EA5" w:rsidRPr="001A6EA5" w:rsidRDefault="001A6EA5" w:rsidP="000D1623">
      <w:pPr>
        <w:jc w:val="both"/>
        <w:rPr>
          <w:rFonts w:ascii="Arial" w:hAnsi="Arial" w:cs="Arial"/>
          <w:color w:val="002060"/>
          <w:sz w:val="20"/>
          <w:szCs w:val="20"/>
        </w:rPr>
      </w:pPr>
      <w:r>
        <w:rPr>
          <w:rFonts w:ascii="Arial" w:hAnsi="Arial" w:cs="Arial"/>
          <w:color w:val="002060"/>
          <w:sz w:val="20"/>
          <w:szCs w:val="20"/>
        </w:rPr>
        <w:t>Gràfic 3.1</w:t>
      </w:r>
      <w:r w:rsidR="004A3E53">
        <w:rPr>
          <w:rFonts w:ascii="Arial" w:hAnsi="Arial" w:cs="Arial"/>
          <w:color w:val="002060"/>
          <w:sz w:val="20"/>
          <w:szCs w:val="20"/>
        </w:rPr>
        <w:t>1</w:t>
      </w:r>
      <w:r>
        <w:rPr>
          <w:rFonts w:ascii="Arial" w:hAnsi="Arial" w:cs="Arial"/>
          <w:color w:val="002060"/>
          <w:sz w:val="20"/>
          <w:szCs w:val="20"/>
        </w:rPr>
        <w:t xml:space="preserve"> Ràtio fons de maniobra sectorial amb detall gràfic ampliat pels exercicis 2015-2019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100"/>
        <w:gridCol w:w="3921"/>
      </w:tblGrid>
      <w:tr w:rsidR="001A6EA5" w:rsidTr="001A6EA5">
        <w:tc>
          <w:tcPr>
            <w:tcW w:w="3556" w:type="dxa"/>
          </w:tcPr>
          <w:p w:rsidR="004273B5" w:rsidRDefault="004273B5" w:rsidP="000D1623">
            <w:pPr>
              <w:jc w:val="both"/>
              <w:rPr>
                <w:rFonts w:ascii="Arial" w:hAnsi="Arial" w:cs="Arial"/>
                <w:i/>
                <w:color w:val="000361"/>
                <w:sz w:val="20"/>
                <w:szCs w:val="20"/>
              </w:rPr>
            </w:pPr>
            <w:r>
              <w:rPr>
                <w:noProof/>
              </w:rPr>
              <w:drawing>
                <wp:inline distT="0" distB="0" distL="0" distR="0" wp14:anchorId="5B21294B" wp14:editId="269F7D1F">
                  <wp:extent cx="3147392" cy="2617304"/>
                  <wp:effectExtent l="0" t="0" r="2540" b="0"/>
                  <wp:docPr id="27" name="Gráfico 27">
                    <a:extLst xmlns:a="http://schemas.openxmlformats.org/drawingml/2006/main">
                      <a:ext uri="{FF2B5EF4-FFF2-40B4-BE49-F238E27FC236}">
                        <a16:creationId xmlns:a16="http://schemas.microsoft.com/office/drawing/2014/main" id="{1B44FF57-2194-814E-BD8C-F68AE5410C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5455" w:type="dxa"/>
          </w:tcPr>
          <w:p w:rsidR="004273B5" w:rsidRDefault="004273B5" w:rsidP="000D1623">
            <w:pPr>
              <w:jc w:val="both"/>
              <w:rPr>
                <w:rFonts w:ascii="Arial" w:hAnsi="Arial" w:cs="Arial"/>
                <w:i/>
                <w:color w:val="000361"/>
                <w:sz w:val="20"/>
                <w:szCs w:val="20"/>
              </w:rPr>
            </w:pPr>
            <w:r>
              <w:rPr>
                <w:noProof/>
              </w:rPr>
              <w:drawing>
                <wp:inline distT="0" distB="0" distL="0" distR="0" wp14:anchorId="7456FE6C" wp14:editId="5DC178A4">
                  <wp:extent cx="2372333" cy="2616835"/>
                  <wp:effectExtent l="0" t="0" r="3175" b="0"/>
                  <wp:docPr id="32" name="Gráfico 32">
                    <a:extLst xmlns:a="http://schemas.openxmlformats.org/drawingml/2006/main">
                      <a:ext uri="{FF2B5EF4-FFF2-40B4-BE49-F238E27FC236}">
                        <a16:creationId xmlns:a16="http://schemas.microsoft.com/office/drawing/2014/main" id="{FA1F1C17-68EE-254F-9404-31BD02E719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rsidR="004273B5" w:rsidRPr="001A6EA5" w:rsidRDefault="001A6EA5" w:rsidP="004273B5">
      <w:pPr>
        <w:jc w:val="both"/>
        <w:rPr>
          <w:rFonts w:ascii="Arial" w:hAnsi="Arial" w:cs="Arial"/>
          <w:color w:val="000361"/>
          <w:sz w:val="14"/>
          <w:szCs w:val="14"/>
        </w:rPr>
      </w:pPr>
      <w:bookmarkStart w:id="4" w:name="OLE_LINK3"/>
      <w:r w:rsidRPr="001A6EA5">
        <w:rPr>
          <w:rFonts w:ascii="Arial" w:hAnsi="Arial" w:cs="Arial"/>
          <w:color w:val="000361"/>
          <w:sz w:val="14"/>
          <w:szCs w:val="14"/>
        </w:rPr>
        <w:t>Font:</w:t>
      </w:r>
      <w:r w:rsidR="000D1623" w:rsidRPr="001A6EA5">
        <w:rPr>
          <w:rFonts w:ascii="Arial" w:hAnsi="Arial" w:cs="Arial"/>
          <w:color w:val="000361"/>
          <w:sz w:val="14"/>
          <w:szCs w:val="14"/>
        </w:rPr>
        <w:t xml:space="preserve"> Reflecteix les dades la la taula d’elaboració pròpia que es troba </w:t>
      </w:r>
      <w:r w:rsidR="00F01398">
        <w:rPr>
          <w:rFonts w:ascii="Arial" w:hAnsi="Arial" w:cs="Arial"/>
          <w:color w:val="000361"/>
          <w:sz w:val="14"/>
          <w:szCs w:val="14"/>
        </w:rPr>
        <w:t>a l’annex 3.10</w:t>
      </w:r>
      <w:r w:rsidR="000D1623" w:rsidRPr="001A6EA5">
        <w:rPr>
          <w:rFonts w:ascii="Arial" w:hAnsi="Arial" w:cs="Arial"/>
          <w:color w:val="000361"/>
          <w:sz w:val="14"/>
          <w:szCs w:val="14"/>
        </w:rPr>
        <w:t>.</w:t>
      </w:r>
      <w:r w:rsidR="004273B5" w:rsidRPr="001A6EA5">
        <w:rPr>
          <w:rFonts w:ascii="Arial" w:hAnsi="Arial" w:cs="Arial"/>
          <w:color w:val="000361"/>
          <w:sz w:val="14"/>
          <w:szCs w:val="14"/>
        </w:rPr>
        <w:t xml:space="preserve"> (*) Perquè la mitjana sigui més representativa del sector s’ha exclòs Neogen d’aquest càlcul.</w:t>
      </w:r>
    </w:p>
    <w:p w:rsidR="000D1623" w:rsidRPr="000D1623" w:rsidRDefault="000D1623" w:rsidP="000D1623">
      <w:pPr>
        <w:jc w:val="both"/>
        <w:rPr>
          <w:rFonts w:ascii="Arial" w:hAnsi="Arial" w:cs="Arial"/>
          <w:color w:val="000361"/>
          <w:sz w:val="16"/>
          <w:szCs w:val="16"/>
        </w:rPr>
      </w:pPr>
    </w:p>
    <w:bookmarkEnd w:id="4"/>
    <w:p w:rsidR="008A5C74" w:rsidRPr="001A6EA5" w:rsidRDefault="008A5C74" w:rsidP="001A6EA5">
      <w:pPr>
        <w:jc w:val="both"/>
        <w:rPr>
          <w:rFonts w:ascii="Arial" w:hAnsi="Arial" w:cs="Arial"/>
          <w:i/>
          <w:color w:val="000361"/>
          <w:sz w:val="20"/>
          <w:szCs w:val="20"/>
        </w:rPr>
      </w:pPr>
    </w:p>
    <w:p w:rsidR="00E45480" w:rsidRDefault="00E45480" w:rsidP="00E45480">
      <w:pPr>
        <w:pStyle w:val="Prrafodelista"/>
        <w:numPr>
          <w:ilvl w:val="0"/>
          <w:numId w:val="24"/>
        </w:numPr>
        <w:jc w:val="both"/>
        <w:rPr>
          <w:rFonts w:ascii="Arial" w:hAnsi="Arial" w:cs="Arial"/>
          <w:i/>
          <w:color w:val="000361"/>
          <w:sz w:val="20"/>
          <w:szCs w:val="20"/>
        </w:rPr>
      </w:pPr>
      <w:r w:rsidRPr="003828A4">
        <w:rPr>
          <w:rFonts w:ascii="Arial" w:hAnsi="Arial" w:cs="Arial"/>
          <w:i/>
          <w:color w:val="000361"/>
          <w:sz w:val="20"/>
          <w:szCs w:val="20"/>
        </w:rPr>
        <w:t>Patrimoni net:</w:t>
      </w:r>
    </w:p>
    <w:p w:rsidR="000D1623" w:rsidRDefault="000D1623" w:rsidP="000D1623">
      <w:pPr>
        <w:jc w:val="both"/>
        <w:rPr>
          <w:rFonts w:ascii="Arial" w:hAnsi="Arial" w:cs="Arial"/>
          <w:i/>
          <w:color w:val="000361"/>
          <w:sz w:val="20"/>
          <w:szCs w:val="20"/>
        </w:rPr>
      </w:pPr>
    </w:p>
    <w:p w:rsidR="001A6EA5" w:rsidRDefault="001A6EA5" w:rsidP="001A6EA5">
      <w:pPr>
        <w:jc w:val="both"/>
        <w:rPr>
          <w:rFonts w:ascii="Arial" w:hAnsi="Arial" w:cs="Arial"/>
          <w:color w:val="000361"/>
          <w:sz w:val="20"/>
          <w:szCs w:val="20"/>
        </w:rPr>
      </w:pPr>
      <w:r>
        <w:rPr>
          <w:rFonts w:ascii="Arial" w:hAnsi="Arial" w:cs="Arial"/>
          <w:color w:val="000361"/>
          <w:sz w:val="20"/>
          <w:szCs w:val="20"/>
        </w:rPr>
        <w:t>Amb el patrimoni net de les empreses del sector s’observa que tendeix a créixer en tots els casos independentment de la mida de l’empresa. Zoetis té un patrimoni molt per sobre dels altres i també és dels que creix més</w:t>
      </w:r>
      <w:r w:rsidR="00F01398">
        <w:rPr>
          <w:rFonts w:ascii="Arial" w:hAnsi="Arial" w:cs="Arial"/>
          <w:color w:val="000361"/>
          <w:sz w:val="20"/>
          <w:szCs w:val="20"/>
        </w:rPr>
        <w:t>.</w:t>
      </w:r>
    </w:p>
    <w:p w:rsidR="00501799" w:rsidRDefault="00501799" w:rsidP="000D1623">
      <w:pPr>
        <w:jc w:val="both"/>
        <w:rPr>
          <w:rFonts w:ascii="Arial" w:hAnsi="Arial" w:cs="Arial"/>
          <w:i/>
          <w:color w:val="000361"/>
          <w:sz w:val="20"/>
          <w:szCs w:val="20"/>
        </w:rPr>
      </w:pPr>
    </w:p>
    <w:p w:rsidR="001A6EA5" w:rsidRPr="001A6EA5" w:rsidRDefault="001A6EA5" w:rsidP="000D1623">
      <w:pPr>
        <w:jc w:val="both"/>
        <w:rPr>
          <w:rFonts w:ascii="Arial" w:hAnsi="Arial" w:cs="Arial"/>
          <w:color w:val="002060"/>
          <w:sz w:val="20"/>
          <w:szCs w:val="20"/>
        </w:rPr>
      </w:pPr>
      <w:r w:rsidRPr="001A6EA5">
        <w:rPr>
          <w:rFonts w:ascii="Arial" w:hAnsi="Arial" w:cs="Arial"/>
          <w:color w:val="002060"/>
          <w:sz w:val="20"/>
          <w:szCs w:val="20"/>
        </w:rPr>
        <w:t>Gràfic 3.1</w:t>
      </w:r>
      <w:r w:rsidR="004A3E53">
        <w:rPr>
          <w:rFonts w:ascii="Arial" w:hAnsi="Arial" w:cs="Arial"/>
          <w:color w:val="002060"/>
          <w:sz w:val="20"/>
          <w:szCs w:val="20"/>
        </w:rPr>
        <w:t>2</w:t>
      </w:r>
      <w:r w:rsidRPr="001A6EA5">
        <w:rPr>
          <w:rFonts w:ascii="Arial" w:hAnsi="Arial" w:cs="Arial"/>
          <w:color w:val="002060"/>
          <w:sz w:val="20"/>
          <w:szCs w:val="20"/>
        </w:rPr>
        <w:t xml:space="preserve"> Patrimoni net sectorial amb detall gràfic ampliat (en milions de dòlars)</w:t>
      </w:r>
    </w:p>
    <w:tbl>
      <w:tblPr>
        <w:tblStyle w:val="Tablaconcuadrc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970"/>
        <w:gridCol w:w="4528"/>
      </w:tblGrid>
      <w:tr w:rsidR="00501799" w:rsidTr="001A6EA5">
        <w:trPr>
          <w:trHeight w:val="3897"/>
        </w:trPr>
        <w:tc>
          <w:tcPr>
            <w:tcW w:w="4980" w:type="dxa"/>
          </w:tcPr>
          <w:p w:rsidR="00501799" w:rsidRDefault="00501799" w:rsidP="000D1623">
            <w:pPr>
              <w:jc w:val="both"/>
              <w:rPr>
                <w:rFonts w:ascii="Arial" w:hAnsi="Arial" w:cs="Arial"/>
                <w:color w:val="000361"/>
                <w:sz w:val="20"/>
                <w:szCs w:val="20"/>
              </w:rPr>
            </w:pPr>
            <w:r>
              <w:rPr>
                <w:noProof/>
              </w:rPr>
              <w:drawing>
                <wp:inline distT="0" distB="0" distL="0" distR="0" wp14:anchorId="712C6A27" wp14:editId="7852E9C5">
                  <wp:extent cx="3067050" cy="2504660"/>
                  <wp:effectExtent l="0" t="0" r="0" b="0"/>
                  <wp:docPr id="25" name="Gráfico 25">
                    <a:extLst xmlns:a="http://schemas.openxmlformats.org/drawingml/2006/main">
                      <a:ext uri="{FF2B5EF4-FFF2-40B4-BE49-F238E27FC236}">
                        <a16:creationId xmlns:a16="http://schemas.microsoft.com/office/drawing/2014/main" id="{FC3874DD-7ECF-2E4A-88E2-F73E65DAE2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371" w:type="dxa"/>
          </w:tcPr>
          <w:p w:rsidR="00501799" w:rsidRDefault="00A66611" w:rsidP="000D1623">
            <w:pPr>
              <w:jc w:val="both"/>
              <w:rPr>
                <w:rFonts w:ascii="Arial" w:hAnsi="Arial" w:cs="Arial"/>
                <w:color w:val="000361"/>
                <w:sz w:val="20"/>
                <w:szCs w:val="20"/>
              </w:rPr>
            </w:pPr>
            <w:r>
              <w:rPr>
                <w:noProof/>
              </w:rPr>
              <w:drawing>
                <wp:inline distT="0" distB="0" distL="0" distR="0" wp14:anchorId="156EED67" wp14:editId="2E9890F3">
                  <wp:extent cx="2786960" cy="2504440"/>
                  <wp:effectExtent l="0" t="0" r="0" b="0"/>
                  <wp:docPr id="26" name="Gráfico 26">
                    <a:extLst xmlns:a="http://schemas.openxmlformats.org/drawingml/2006/main">
                      <a:ext uri="{FF2B5EF4-FFF2-40B4-BE49-F238E27FC236}">
                        <a16:creationId xmlns:a16="http://schemas.microsoft.com/office/drawing/2014/main" id="{396904C9-BDBB-9344-BCEF-A71EB2603C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rsidR="00A66611" w:rsidRPr="001A6EA5" w:rsidRDefault="001A6EA5" w:rsidP="00A66611">
      <w:pPr>
        <w:jc w:val="both"/>
        <w:rPr>
          <w:rFonts w:ascii="Arial" w:hAnsi="Arial" w:cs="Arial"/>
          <w:color w:val="000361"/>
          <w:sz w:val="14"/>
          <w:szCs w:val="14"/>
        </w:rPr>
      </w:pPr>
      <w:bookmarkStart w:id="5" w:name="OLE_LINK4"/>
      <w:r w:rsidRPr="001A6EA5">
        <w:rPr>
          <w:rFonts w:ascii="Arial" w:hAnsi="Arial" w:cs="Arial"/>
          <w:color w:val="000361"/>
          <w:sz w:val="14"/>
          <w:szCs w:val="14"/>
        </w:rPr>
        <w:t xml:space="preserve">Font: </w:t>
      </w:r>
      <w:r w:rsidR="00A66611" w:rsidRPr="001A6EA5">
        <w:rPr>
          <w:rFonts w:ascii="Arial" w:hAnsi="Arial" w:cs="Arial"/>
          <w:color w:val="000361"/>
          <w:sz w:val="14"/>
          <w:szCs w:val="14"/>
        </w:rPr>
        <w:t xml:space="preserve">Reflecteix les dades </w:t>
      </w:r>
      <w:r w:rsidRPr="001A6EA5">
        <w:rPr>
          <w:rFonts w:ascii="Arial" w:hAnsi="Arial" w:cs="Arial"/>
          <w:color w:val="000361"/>
          <w:sz w:val="14"/>
          <w:szCs w:val="14"/>
        </w:rPr>
        <w:t>de</w:t>
      </w:r>
      <w:r w:rsidR="00A66611" w:rsidRPr="001A6EA5">
        <w:rPr>
          <w:rFonts w:ascii="Arial" w:hAnsi="Arial" w:cs="Arial"/>
          <w:color w:val="000361"/>
          <w:sz w:val="14"/>
          <w:szCs w:val="14"/>
        </w:rPr>
        <w:t xml:space="preserve"> la taula d’elaboració pròpia que es troba </w:t>
      </w:r>
      <w:r w:rsidR="00F01398">
        <w:rPr>
          <w:rFonts w:ascii="Arial" w:hAnsi="Arial" w:cs="Arial"/>
          <w:color w:val="000361"/>
          <w:sz w:val="14"/>
          <w:szCs w:val="14"/>
        </w:rPr>
        <w:t>l’annex 3.11</w:t>
      </w:r>
      <w:r w:rsidR="00A66611" w:rsidRPr="001A6EA5">
        <w:rPr>
          <w:rFonts w:ascii="Arial" w:hAnsi="Arial" w:cs="Arial"/>
          <w:color w:val="000361"/>
          <w:sz w:val="14"/>
          <w:szCs w:val="14"/>
        </w:rPr>
        <w:t>.</w:t>
      </w:r>
    </w:p>
    <w:bookmarkEnd w:id="5"/>
    <w:p w:rsidR="00501799" w:rsidRPr="00A66611" w:rsidRDefault="00501799" w:rsidP="000D1623">
      <w:pPr>
        <w:jc w:val="both"/>
        <w:rPr>
          <w:rFonts w:ascii="Arial" w:hAnsi="Arial" w:cs="Arial"/>
          <w:color w:val="000361"/>
          <w:sz w:val="16"/>
          <w:szCs w:val="16"/>
        </w:rPr>
      </w:pPr>
    </w:p>
    <w:p w:rsidR="008A5C74" w:rsidRPr="00851530" w:rsidRDefault="008A5C74" w:rsidP="000D1623">
      <w:pPr>
        <w:jc w:val="both"/>
        <w:rPr>
          <w:rFonts w:ascii="Arial" w:hAnsi="Arial" w:cs="Arial"/>
          <w:color w:val="000361"/>
          <w:sz w:val="20"/>
          <w:szCs w:val="20"/>
        </w:rPr>
      </w:pPr>
    </w:p>
    <w:p w:rsidR="000D1623" w:rsidRPr="000D1623" w:rsidRDefault="000D1623" w:rsidP="000D1623">
      <w:pPr>
        <w:jc w:val="both"/>
        <w:rPr>
          <w:rFonts w:ascii="Arial" w:hAnsi="Arial" w:cs="Arial"/>
          <w:i/>
          <w:color w:val="000361"/>
          <w:sz w:val="20"/>
          <w:szCs w:val="20"/>
        </w:rPr>
      </w:pPr>
    </w:p>
    <w:p w:rsidR="00E45480" w:rsidRDefault="00E45480" w:rsidP="00E45480">
      <w:pPr>
        <w:pStyle w:val="Prrafodelista"/>
        <w:numPr>
          <w:ilvl w:val="0"/>
          <w:numId w:val="24"/>
        </w:numPr>
        <w:jc w:val="both"/>
        <w:rPr>
          <w:rFonts w:ascii="Arial" w:hAnsi="Arial" w:cs="Arial"/>
          <w:i/>
          <w:color w:val="000361"/>
          <w:sz w:val="20"/>
          <w:szCs w:val="20"/>
        </w:rPr>
      </w:pPr>
      <w:r w:rsidRPr="003828A4">
        <w:rPr>
          <w:rFonts w:ascii="Arial" w:hAnsi="Arial" w:cs="Arial"/>
          <w:i/>
          <w:color w:val="000361"/>
          <w:sz w:val="20"/>
          <w:szCs w:val="20"/>
        </w:rPr>
        <w:t>Rendibilitat econòmica:</w:t>
      </w:r>
    </w:p>
    <w:p w:rsidR="00774B7A" w:rsidRDefault="00774B7A" w:rsidP="00774B7A">
      <w:pPr>
        <w:jc w:val="both"/>
        <w:rPr>
          <w:rFonts w:ascii="Arial" w:hAnsi="Arial" w:cs="Arial"/>
          <w:i/>
          <w:color w:val="000361"/>
          <w:sz w:val="20"/>
          <w:szCs w:val="20"/>
        </w:rPr>
      </w:pPr>
    </w:p>
    <w:p w:rsidR="00774B7A" w:rsidRDefault="001A6EA5" w:rsidP="00774B7A">
      <w:pPr>
        <w:jc w:val="both"/>
        <w:rPr>
          <w:rFonts w:ascii="Arial" w:hAnsi="Arial" w:cs="Arial"/>
          <w:i/>
          <w:color w:val="000361"/>
          <w:sz w:val="20"/>
          <w:szCs w:val="20"/>
        </w:rPr>
      </w:pPr>
      <w:r>
        <w:rPr>
          <w:rFonts w:ascii="Arial" w:hAnsi="Arial" w:cs="Arial"/>
          <w:color w:val="002060"/>
          <w:sz w:val="20"/>
          <w:szCs w:val="20"/>
        </w:rPr>
        <w:t>La rendibilitat econòmica de Hipra és una mica superior a la mitjana sectorial el 2015,2016 i 2017 i alineada amb aquesta l‘exercici 2018 i 2019. També Neogen i Phibro obtenen rendibilitats semblants a la mitjana del sector, tot i que Neogen sempre amb valors propers però inferiors. IDEXX és l’empresa que a partir del 2016 es desmarca de la resta i assoleix rendibilitats econòmiques properes al 25% i del 2018 endavant per sobre dels 30 punts percentuals. El competidor que obté pitjors rendibilitats és Virbac que malgrat mostra una trajectòria ascendent, parteix d’un 2% el 2015 fins assolir una rendibilitat d’explotació del 7%.</w:t>
      </w:r>
    </w:p>
    <w:p w:rsidR="001A6EA5" w:rsidRDefault="001A6EA5" w:rsidP="00774B7A">
      <w:pPr>
        <w:jc w:val="both"/>
        <w:rPr>
          <w:rFonts w:ascii="Arial" w:hAnsi="Arial" w:cs="Arial"/>
          <w:i/>
          <w:color w:val="000361"/>
          <w:sz w:val="20"/>
          <w:szCs w:val="20"/>
        </w:rPr>
      </w:pPr>
    </w:p>
    <w:p w:rsidR="001A6EA5" w:rsidRPr="001A6EA5" w:rsidRDefault="001A6EA5" w:rsidP="00774B7A">
      <w:pPr>
        <w:jc w:val="both"/>
        <w:rPr>
          <w:rFonts w:ascii="Arial" w:hAnsi="Arial" w:cs="Arial"/>
          <w:color w:val="002060"/>
          <w:sz w:val="20"/>
          <w:szCs w:val="20"/>
        </w:rPr>
      </w:pPr>
      <w:r>
        <w:rPr>
          <w:rFonts w:ascii="Arial" w:hAnsi="Arial" w:cs="Arial"/>
          <w:color w:val="002060"/>
          <w:sz w:val="20"/>
          <w:szCs w:val="20"/>
        </w:rPr>
        <w:t>Gràfic 3.1</w:t>
      </w:r>
      <w:r w:rsidR="004A3E53">
        <w:rPr>
          <w:rFonts w:ascii="Arial" w:hAnsi="Arial" w:cs="Arial"/>
          <w:color w:val="002060"/>
          <w:sz w:val="20"/>
          <w:szCs w:val="20"/>
        </w:rPr>
        <w:t>3</w:t>
      </w:r>
      <w:r>
        <w:rPr>
          <w:rFonts w:ascii="Arial" w:hAnsi="Arial" w:cs="Arial"/>
          <w:color w:val="002060"/>
          <w:sz w:val="20"/>
          <w:szCs w:val="20"/>
        </w:rPr>
        <w:t xml:space="preserve"> Rendibilitat econòmica sectorial dels exercicis 2015-2019</w:t>
      </w:r>
    </w:p>
    <w:p w:rsidR="00774B7A" w:rsidRDefault="00774B7A" w:rsidP="00774B7A">
      <w:pPr>
        <w:jc w:val="both"/>
        <w:rPr>
          <w:rFonts w:ascii="Arial" w:hAnsi="Arial" w:cs="Arial"/>
          <w:i/>
          <w:color w:val="000361"/>
          <w:sz w:val="20"/>
          <w:szCs w:val="20"/>
        </w:rPr>
      </w:pPr>
      <w:r>
        <w:rPr>
          <w:noProof/>
        </w:rPr>
        <w:drawing>
          <wp:inline distT="0" distB="0" distL="0" distR="0" wp14:anchorId="314BEBDC" wp14:editId="5A1586DF">
            <wp:extent cx="5870713" cy="2570480"/>
            <wp:effectExtent l="0" t="0" r="0" b="0"/>
            <wp:docPr id="28" name="Gráfico 28">
              <a:extLst xmlns:a="http://schemas.openxmlformats.org/drawingml/2006/main">
                <a:ext uri="{FF2B5EF4-FFF2-40B4-BE49-F238E27FC236}">
                  <a16:creationId xmlns:a16="http://schemas.microsoft.com/office/drawing/2014/main" id="{4DA251BA-798D-B941-86D4-E6E7D925DC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774B7A" w:rsidRPr="001A6EA5" w:rsidRDefault="001A6EA5" w:rsidP="00774B7A">
      <w:pPr>
        <w:jc w:val="both"/>
        <w:rPr>
          <w:rFonts w:ascii="Arial" w:hAnsi="Arial" w:cs="Arial"/>
          <w:color w:val="000361"/>
          <w:sz w:val="14"/>
          <w:szCs w:val="14"/>
        </w:rPr>
      </w:pPr>
      <w:r w:rsidRPr="001A6EA5">
        <w:rPr>
          <w:rFonts w:ascii="Arial" w:hAnsi="Arial" w:cs="Arial"/>
          <w:color w:val="000361"/>
          <w:sz w:val="14"/>
          <w:szCs w:val="14"/>
        </w:rPr>
        <w:t>Font:</w:t>
      </w:r>
      <w:r w:rsidR="00774B7A" w:rsidRPr="001A6EA5">
        <w:rPr>
          <w:rFonts w:ascii="Arial" w:hAnsi="Arial" w:cs="Arial"/>
          <w:color w:val="000361"/>
          <w:sz w:val="14"/>
          <w:szCs w:val="14"/>
        </w:rPr>
        <w:t xml:space="preserve"> Reflecteix les dades </w:t>
      </w:r>
      <w:r w:rsidR="00914378" w:rsidRPr="001A6EA5">
        <w:rPr>
          <w:rFonts w:ascii="Arial" w:hAnsi="Arial" w:cs="Arial"/>
          <w:color w:val="000361"/>
          <w:sz w:val="14"/>
          <w:szCs w:val="14"/>
        </w:rPr>
        <w:t>de</w:t>
      </w:r>
      <w:r w:rsidR="00774B7A" w:rsidRPr="001A6EA5">
        <w:rPr>
          <w:rFonts w:ascii="Arial" w:hAnsi="Arial" w:cs="Arial"/>
          <w:color w:val="000361"/>
          <w:sz w:val="14"/>
          <w:szCs w:val="14"/>
        </w:rPr>
        <w:t xml:space="preserve"> la taula d’elaboració pròpia que es troba </w:t>
      </w:r>
      <w:r w:rsidR="006356FD">
        <w:rPr>
          <w:rFonts w:ascii="Arial" w:hAnsi="Arial" w:cs="Arial"/>
          <w:color w:val="000361"/>
          <w:sz w:val="14"/>
          <w:szCs w:val="14"/>
        </w:rPr>
        <w:t>a l’annex 3.12</w:t>
      </w:r>
      <w:r w:rsidR="00774B7A" w:rsidRPr="001A6EA5">
        <w:rPr>
          <w:rFonts w:ascii="Arial" w:hAnsi="Arial" w:cs="Arial"/>
          <w:color w:val="000361"/>
          <w:sz w:val="14"/>
          <w:szCs w:val="14"/>
        </w:rPr>
        <w:t>.</w:t>
      </w:r>
    </w:p>
    <w:p w:rsidR="00774B7A" w:rsidRDefault="00774B7A" w:rsidP="00774B7A">
      <w:pPr>
        <w:jc w:val="both"/>
        <w:rPr>
          <w:rFonts w:ascii="Arial" w:hAnsi="Arial" w:cs="Arial"/>
          <w:color w:val="002060"/>
          <w:sz w:val="20"/>
          <w:szCs w:val="20"/>
        </w:rPr>
      </w:pPr>
    </w:p>
    <w:p w:rsidR="00914378" w:rsidRDefault="00914378" w:rsidP="00774B7A">
      <w:pPr>
        <w:jc w:val="both"/>
        <w:rPr>
          <w:rFonts w:ascii="Arial" w:hAnsi="Arial" w:cs="Arial"/>
          <w:color w:val="002060"/>
          <w:sz w:val="20"/>
          <w:szCs w:val="20"/>
        </w:rPr>
      </w:pPr>
    </w:p>
    <w:p w:rsidR="00914378" w:rsidRDefault="00914378" w:rsidP="00774B7A">
      <w:pPr>
        <w:jc w:val="both"/>
        <w:rPr>
          <w:rFonts w:ascii="Arial" w:hAnsi="Arial" w:cs="Arial"/>
          <w:color w:val="002060"/>
          <w:sz w:val="20"/>
          <w:szCs w:val="20"/>
        </w:rPr>
      </w:pPr>
      <w:r>
        <w:rPr>
          <w:rFonts w:ascii="Arial" w:hAnsi="Arial" w:cs="Arial"/>
          <w:color w:val="002060"/>
          <w:sz w:val="20"/>
          <w:szCs w:val="20"/>
        </w:rPr>
        <w:t xml:space="preserve">S’aprofundeix amb l’anàlisi d’aquests resultats a partir de la descomposició de la rendibilitat econòmica </w:t>
      </w:r>
      <w:r w:rsidR="006A7C09">
        <w:rPr>
          <w:rFonts w:ascii="Arial" w:hAnsi="Arial" w:cs="Arial"/>
          <w:color w:val="002060"/>
          <w:sz w:val="20"/>
          <w:szCs w:val="20"/>
        </w:rPr>
        <w:t>representant-ne</w:t>
      </w:r>
      <w:r>
        <w:rPr>
          <w:rFonts w:ascii="Arial" w:hAnsi="Arial" w:cs="Arial"/>
          <w:color w:val="002060"/>
          <w:sz w:val="20"/>
          <w:szCs w:val="20"/>
        </w:rPr>
        <w:t xml:space="preserve"> gràficament el marge sobre vendes i la rotació de l’actiu.</w:t>
      </w:r>
    </w:p>
    <w:p w:rsidR="00914378" w:rsidRDefault="00914378" w:rsidP="00774B7A">
      <w:pPr>
        <w:jc w:val="both"/>
        <w:rPr>
          <w:rFonts w:ascii="Arial" w:hAnsi="Arial" w:cs="Arial"/>
          <w:color w:val="002060"/>
          <w:sz w:val="20"/>
          <w:szCs w:val="20"/>
        </w:rPr>
      </w:pPr>
    </w:p>
    <w:tbl>
      <w:tblPr>
        <w:tblStyle w:val="Tablaconcuadrc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501"/>
        <w:gridCol w:w="4823"/>
      </w:tblGrid>
      <w:tr w:rsidR="001A6EA5" w:rsidTr="001A6EA5">
        <w:tc>
          <w:tcPr>
            <w:tcW w:w="4352" w:type="dxa"/>
          </w:tcPr>
          <w:p w:rsidR="001A6EA5" w:rsidRPr="001A6EA5" w:rsidRDefault="001A6EA5" w:rsidP="00774B7A">
            <w:pPr>
              <w:jc w:val="both"/>
              <w:rPr>
                <w:rFonts w:ascii="Arial" w:hAnsi="Arial" w:cs="Arial"/>
                <w:noProof/>
                <w:color w:val="002060"/>
                <w:sz w:val="20"/>
                <w:szCs w:val="20"/>
              </w:rPr>
            </w:pPr>
            <w:r>
              <w:rPr>
                <w:rFonts w:ascii="Arial" w:hAnsi="Arial" w:cs="Arial"/>
                <w:noProof/>
                <w:color w:val="002060"/>
                <w:sz w:val="20"/>
                <w:szCs w:val="20"/>
              </w:rPr>
              <w:t>Gràfic 3.1</w:t>
            </w:r>
            <w:r w:rsidR="004A3E53">
              <w:rPr>
                <w:rFonts w:ascii="Arial" w:hAnsi="Arial" w:cs="Arial"/>
                <w:noProof/>
                <w:color w:val="002060"/>
                <w:sz w:val="20"/>
                <w:szCs w:val="20"/>
              </w:rPr>
              <w:t>4</w:t>
            </w:r>
            <w:r>
              <w:rPr>
                <w:rFonts w:ascii="Arial" w:hAnsi="Arial" w:cs="Arial"/>
                <w:noProof/>
                <w:color w:val="002060"/>
                <w:sz w:val="20"/>
                <w:szCs w:val="20"/>
              </w:rPr>
              <w:t xml:space="preserve"> Marge sobre vendes del sector</w:t>
            </w:r>
          </w:p>
        </w:tc>
        <w:tc>
          <w:tcPr>
            <w:tcW w:w="4857" w:type="dxa"/>
          </w:tcPr>
          <w:p w:rsidR="001A6EA5" w:rsidRPr="001A6EA5" w:rsidRDefault="001A6EA5" w:rsidP="00774B7A">
            <w:pPr>
              <w:jc w:val="both"/>
              <w:rPr>
                <w:rFonts w:ascii="Arial" w:hAnsi="Arial" w:cs="Arial"/>
                <w:noProof/>
                <w:color w:val="002060"/>
                <w:sz w:val="20"/>
                <w:szCs w:val="20"/>
              </w:rPr>
            </w:pPr>
            <w:r>
              <w:rPr>
                <w:rFonts w:ascii="Arial" w:hAnsi="Arial" w:cs="Arial"/>
                <w:noProof/>
                <w:color w:val="002060"/>
                <w:sz w:val="20"/>
                <w:szCs w:val="20"/>
              </w:rPr>
              <w:t>Gràfic 3.1</w:t>
            </w:r>
            <w:r w:rsidR="004A3E53">
              <w:rPr>
                <w:rFonts w:ascii="Arial" w:hAnsi="Arial" w:cs="Arial"/>
                <w:noProof/>
                <w:color w:val="002060"/>
                <w:sz w:val="20"/>
                <w:szCs w:val="20"/>
              </w:rPr>
              <w:t>5</w:t>
            </w:r>
            <w:r>
              <w:rPr>
                <w:rFonts w:ascii="Arial" w:hAnsi="Arial" w:cs="Arial"/>
                <w:noProof/>
                <w:color w:val="002060"/>
                <w:sz w:val="20"/>
                <w:szCs w:val="20"/>
              </w:rPr>
              <w:t xml:space="preserve"> Rotació de l’actiu del sector</w:t>
            </w:r>
          </w:p>
        </w:tc>
      </w:tr>
      <w:tr w:rsidR="00914378" w:rsidTr="001A6EA5">
        <w:tc>
          <w:tcPr>
            <w:tcW w:w="4352" w:type="dxa"/>
          </w:tcPr>
          <w:p w:rsidR="00914378" w:rsidRDefault="00914378" w:rsidP="00774B7A">
            <w:pPr>
              <w:jc w:val="both"/>
              <w:rPr>
                <w:rFonts w:ascii="Arial" w:hAnsi="Arial" w:cs="Arial"/>
                <w:color w:val="002060"/>
                <w:sz w:val="20"/>
                <w:szCs w:val="20"/>
              </w:rPr>
            </w:pPr>
            <w:r>
              <w:rPr>
                <w:noProof/>
              </w:rPr>
              <w:drawing>
                <wp:inline distT="0" distB="0" distL="0" distR="0" wp14:anchorId="41D64D46" wp14:editId="438904E5">
                  <wp:extent cx="2769235" cy="3094382"/>
                  <wp:effectExtent l="0" t="0" r="0" b="4445"/>
                  <wp:docPr id="33" name="Gráfico 33">
                    <a:extLst xmlns:a="http://schemas.openxmlformats.org/drawingml/2006/main">
                      <a:ext uri="{FF2B5EF4-FFF2-40B4-BE49-F238E27FC236}">
                        <a16:creationId xmlns:a16="http://schemas.microsoft.com/office/drawing/2014/main" id="{A3C43D24-6BAD-1F4C-BBEF-6F2D956515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c>
          <w:tcPr>
            <w:tcW w:w="4857" w:type="dxa"/>
          </w:tcPr>
          <w:p w:rsidR="00914378" w:rsidRDefault="00914378" w:rsidP="00774B7A">
            <w:pPr>
              <w:jc w:val="both"/>
              <w:rPr>
                <w:rFonts w:ascii="Arial" w:hAnsi="Arial" w:cs="Arial"/>
                <w:color w:val="002060"/>
                <w:sz w:val="20"/>
                <w:szCs w:val="20"/>
              </w:rPr>
            </w:pPr>
            <w:r>
              <w:rPr>
                <w:noProof/>
              </w:rPr>
              <w:drawing>
                <wp:inline distT="0" distB="0" distL="0" distR="0" wp14:anchorId="2D36A43D" wp14:editId="66CD51C9">
                  <wp:extent cx="2974284" cy="3094355"/>
                  <wp:effectExtent l="0" t="0" r="0" b="4445"/>
                  <wp:docPr id="34" name="Gráfico 34">
                    <a:extLst xmlns:a="http://schemas.openxmlformats.org/drawingml/2006/main">
                      <a:ext uri="{FF2B5EF4-FFF2-40B4-BE49-F238E27FC236}">
                        <a16:creationId xmlns:a16="http://schemas.microsoft.com/office/drawing/2014/main" id="{8A586199-5B18-8140-B73A-84D216547B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r>
      <w:tr w:rsidR="00914378" w:rsidTr="001A6EA5">
        <w:tblPrEx>
          <w:tblCellMar>
            <w:left w:w="108" w:type="dxa"/>
            <w:right w:w="108" w:type="dxa"/>
          </w:tblCellMar>
        </w:tblPrEx>
        <w:trPr>
          <w:trHeight w:val="431"/>
        </w:trPr>
        <w:tc>
          <w:tcPr>
            <w:tcW w:w="4352" w:type="dxa"/>
          </w:tcPr>
          <w:p w:rsidR="00914378" w:rsidRPr="001A6EA5" w:rsidRDefault="001A6EA5" w:rsidP="001A6EA5">
            <w:pPr>
              <w:jc w:val="both"/>
              <w:rPr>
                <w:rFonts w:ascii="Arial" w:hAnsi="Arial" w:cs="Arial"/>
                <w:color w:val="002060"/>
                <w:sz w:val="14"/>
                <w:szCs w:val="14"/>
              </w:rPr>
            </w:pPr>
            <w:r w:rsidRPr="001A6EA5">
              <w:rPr>
                <w:rFonts w:ascii="Arial" w:hAnsi="Arial" w:cs="Arial"/>
                <w:color w:val="000361"/>
                <w:sz w:val="14"/>
                <w:szCs w:val="14"/>
              </w:rPr>
              <w:t>Font:</w:t>
            </w:r>
            <w:r w:rsidR="00914378" w:rsidRPr="001A6EA5">
              <w:rPr>
                <w:rFonts w:ascii="Arial" w:hAnsi="Arial" w:cs="Arial"/>
                <w:color w:val="000361"/>
                <w:sz w:val="14"/>
                <w:szCs w:val="14"/>
              </w:rPr>
              <w:t xml:space="preserve"> Reflecteix les dades de la taula d’elaboració pròpia que es troba </w:t>
            </w:r>
            <w:r w:rsidR="006356FD">
              <w:rPr>
                <w:rFonts w:ascii="Arial" w:hAnsi="Arial" w:cs="Arial"/>
                <w:color w:val="000361"/>
                <w:sz w:val="14"/>
                <w:szCs w:val="14"/>
              </w:rPr>
              <w:t>a l’annex 3.13</w:t>
            </w:r>
            <w:r w:rsidR="00914378" w:rsidRPr="001A6EA5">
              <w:rPr>
                <w:rFonts w:ascii="Arial" w:hAnsi="Arial" w:cs="Arial"/>
                <w:color w:val="000361"/>
                <w:sz w:val="14"/>
                <w:szCs w:val="14"/>
              </w:rPr>
              <w:t>.</w:t>
            </w:r>
          </w:p>
        </w:tc>
        <w:tc>
          <w:tcPr>
            <w:tcW w:w="4857" w:type="dxa"/>
          </w:tcPr>
          <w:p w:rsidR="00914378" w:rsidRPr="001A6EA5" w:rsidRDefault="001A6EA5" w:rsidP="001A6EA5">
            <w:pPr>
              <w:jc w:val="both"/>
              <w:rPr>
                <w:rFonts w:ascii="Arial" w:hAnsi="Arial" w:cs="Arial"/>
                <w:color w:val="002060"/>
                <w:sz w:val="14"/>
                <w:szCs w:val="14"/>
              </w:rPr>
            </w:pPr>
            <w:r w:rsidRPr="001A6EA5">
              <w:rPr>
                <w:rFonts w:ascii="Arial" w:hAnsi="Arial" w:cs="Arial"/>
                <w:color w:val="000361"/>
                <w:sz w:val="14"/>
                <w:szCs w:val="14"/>
              </w:rPr>
              <w:t>Font:</w:t>
            </w:r>
            <w:r w:rsidR="00914378" w:rsidRPr="001A6EA5">
              <w:rPr>
                <w:rFonts w:ascii="Arial" w:hAnsi="Arial" w:cs="Arial"/>
                <w:color w:val="000361"/>
                <w:sz w:val="14"/>
                <w:szCs w:val="14"/>
              </w:rPr>
              <w:t xml:space="preserve"> Reflecteix les dades de la taula d’elaboració pròpia que es troba </w:t>
            </w:r>
            <w:r w:rsidR="006356FD">
              <w:rPr>
                <w:rFonts w:ascii="Arial" w:hAnsi="Arial" w:cs="Arial"/>
                <w:color w:val="000361"/>
                <w:sz w:val="14"/>
                <w:szCs w:val="14"/>
              </w:rPr>
              <w:t>a l’annex 3.14.</w:t>
            </w:r>
          </w:p>
        </w:tc>
      </w:tr>
    </w:tbl>
    <w:p w:rsidR="00914378" w:rsidRPr="006E5BBD" w:rsidRDefault="00914378" w:rsidP="00774B7A">
      <w:pPr>
        <w:jc w:val="both"/>
        <w:rPr>
          <w:rFonts w:ascii="Arial" w:hAnsi="Arial" w:cs="Arial"/>
          <w:color w:val="002060"/>
          <w:sz w:val="20"/>
          <w:szCs w:val="20"/>
        </w:rPr>
      </w:pPr>
    </w:p>
    <w:p w:rsidR="00774B7A" w:rsidRPr="006A7C09" w:rsidRDefault="006A7C09" w:rsidP="00774B7A">
      <w:pPr>
        <w:jc w:val="both"/>
        <w:rPr>
          <w:rFonts w:ascii="Arial" w:hAnsi="Arial" w:cs="Arial"/>
          <w:color w:val="000361"/>
          <w:sz w:val="20"/>
          <w:szCs w:val="20"/>
        </w:rPr>
      </w:pPr>
      <w:r>
        <w:rPr>
          <w:rFonts w:ascii="Arial" w:hAnsi="Arial" w:cs="Arial"/>
          <w:color w:val="000361"/>
          <w:sz w:val="20"/>
          <w:szCs w:val="20"/>
        </w:rPr>
        <w:t>Hipra es pot considerar que es troba alineat amb la mitjana en ambdós casos, Phibro i Virbac obtenen els pitjors marges encara que el primer ho compensa amb una nivell de rotació d’actius elevat. De caire oposat, Zoetis disposa d’uns marges elevats però obté el pitjor lloc en eficiència d’ús dels actius</w:t>
      </w:r>
      <w:r w:rsidR="004F6D7B">
        <w:rPr>
          <w:rFonts w:ascii="Arial" w:hAnsi="Arial" w:cs="Arial"/>
          <w:color w:val="000361"/>
          <w:sz w:val="20"/>
          <w:szCs w:val="20"/>
        </w:rPr>
        <w:t>. També tenen poca rotació d’actius les empreses Neogen i Virbac. Els millors resultats tal i com hem observat anteriorment amb l’anàlisi de la rendibilitat econòmica són per I</w:t>
      </w:r>
      <w:r w:rsidR="001A6EA5">
        <w:rPr>
          <w:rFonts w:ascii="Arial" w:hAnsi="Arial" w:cs="Arial"/>
          <w:color w:val="000361"/>
          <w:sz w:val="20"/>
          <w:szCs w:val="20"/>
        </w:rPr>
        <w:t>dexx</w:t>
      </w:r>
      <w:r w:rsidR="004F6D7B">
        <w:rPr>
          <w:rFonts w:ascii="Arial" w:hAnsi="Arial" w:cs="Arial"/>
          <w:color w:val="000361"/>
          <w:sz w:val="20"/>
          <w:szCs w:val="20"/>
        </w:rPr>
        <w:t xml:space="preserve"> que té uns marges sobre vendes molt elevats i és el qui millors resultats obté a partir de l’aprofitament dels seus actius.</w:t>
      </w:r>
    </w:p>
    <w:p w:rsidR="004F6D7B" w:rsidRPr="001A6EA5" w:rsidRDefault="004F6D7B" w:rsidP="001A6EA5">
      <w:pPr>
        <w:jc w:val="both"/>
        <w:rPr>
          <w:rFonts w:ascii="Arial" w:hAnsi="Arial" w:cs="Arial"/>
          <w:i/>
          <w:color w:val="000361"/>
          <w:sz w:val="20"/>
          <w:szCs w:val="20"/>
        </w:rPr>
      </w:pPr>
    </w:p>
    <w:p w:rsidR="00774B7A" w:rsidRPr="003828A4" w:rsidRDefault="00774B7A" w:rsidP="00E45480">
      <w:pPr>
        <w:pStyle w:val="Prrafodelista"/>
        <w:numPr>
          <w:ilvl w:val="0"/>
          <w:numId w:val="24"/>
        </w:numPr>
        <w:jc w:val="both"/>
        <w:rPr>
          <w:rFonts w:ascii="Arial" w:hAnsi="Arial" w:cs="Arial"/>
          <w:i/>
          <w:color w:val="000361"/>
          <w:sz w:val="20"/>
          <w:szCs w:val="20"/>
        </w:rPr>
      </w:pPr>
      <w:r>
        <w:rPr>
          <w:rFonts w:ascii="Arial" w:hAnsi="Arial" w:cs="Arial"/>
          <w:i/>
          <w:color w:val="000361"/>
          <w:sz w:val="20"/>
          <w:szCs w:val="20"/>
        </w:rPr>
        <w:t>Rendibilitat financera:</w:t>
      </w:r>
    </w:p>
    <w:p w:rsidR="00044CE3" w:rsidRDefault="00044CE3" w:rsidP="00E45480">
      <w:pPr>
        <w:jc w:val="both"/>
        <w:rPr>
          <w:rFonts w:ascii="Arial" w:hAnsi="Arial" w:cs="Arial"/>
          <w:color w:val="000361"/>
          <w:sz w:val="20"/>
          <w:szCs w:val="20"/>
        </w:rPr>
      </w:pPr>
    </w:p>
    <w:p w:rsidR="001A6EA5" w:rsidRDefault="001A6EA5" w:rsidP="001A6EA5">
      <w:pPr>
        <w:jc w:val="both"/>
        <w:rPr>
          <w:rFonts w:ascii="Arial" w:hAnsi="Arial" w:cs="Arial"/>
          <w:color w:val="000361"/>
          <w:sz w:val="20"/>
          <w:szCs w:val="20"/>
        </w:rPr>
      </w:pPr>
      <w:r>
        <w:rPr>
          <w:rFonts w:ascii="Arial" w:hAnsi="Arial" w:cs="Arial"/>
          <w:color w:val="000361"/>
          <w:sz w:val="20"/>
          <w:szCs w:val="20"/>
        </w:rPr>
        <w:t>El patrimoni net negatiu de Idexx en tots els exercicis menys el 2019 dóna rendibilitats financeres negatives molt allunyades del què es considera normal pel sector i per això no s’ha tingut en compte en el càlcul de la mitjana.</w:t>
      </w:r>
    </w:p>
    <w:p w:rsidR="001A6EA5" w:rsidRDefault="001A6EA5" w:rsidP="001A6EA5">
      <w:pPr>
        <w:jc w:val="both"/>
        <w:rPr>
          <w:rFonts w:ascii="Arial" w:hAnsi="Arial" w:cs="Arial"/>
          <w:color w:val="000361"/>
          <w:sz w:val="20"/>
          <w:szCs w:val="20"/>
        </w:rPr>
      </w:pPr>
    </w:p>
    <w:p w:rsidR="001A6EA5" w:rsidRDefault="001A6EA5" w:rsidP="001A6EA5">
      <w:pPr>
        <w:jc w:val="both"/>
        <w:rPr>
          <w:rFonts w:ascii="Arial" w:hAnsi="Arial" w:cs="Arial"/>
          <w:color w:val="000361"/>
          <w:sz w:val="20"/>
          <w:szCs w:val="20"/>
        </w:rPr>
      </w:pPr>
      <w:r>
        <w:rPr>
          <w:rFonts w:ascii="Arial" w:hAnsi="Arial" w:cs="Arial"/>
          <w:color w:val="000361"/>
          <w:sz w:val="20"/>
          <w:szCs w:val="20"/>
        </w:rPr>
        <w:t xml:space="preserve">Dit això, Laboratoris Hipra obté rendibilitats financeres que es poden considerar estables amb valors entre el 16 i 23% i una mica per sota la mitjana sectorial. Phibro i Zoetis són els que millor percentatge aconsegueixen encara que el primer tendeix a </w:t>
      </w:r>
      <w:r w:rsidR="006012D2">
        <w:rPr>
          <w:rFonts w:ascii="Arial" w:hAnsi="Arial" w:cs="Arial"/>
          <w:color w:val="000361"/>
          <w:sz w:val="20"/>
          <w:szCs w:val="20"/>
        </w:rPr>
        <w:t>disminuir</w:t>
      </w:r>
      <w:r>
        <w:rPr>
          <w:rFonts w:ascii="Arial" w:hAnsi="Arial" w:cs="Arial"/>
          <w:color w:val="000361"/>
          <w:sz w:val="20"/>
          <w:szCs w:val="20"/>
        </w:rPr>
        <w:t xml:space="preserve"> mentre Zoetis va a l’alça. </w:t>
      </w:r>
    </w:p>
    <w:p w:rsidR="001A6EA5" w:rsidRDefault="001A6EA5" w:rsidP="001A6EA5">
      <w:pPr>
        <w:jc w:val="both"/>
        <w:rPr>
          <w:rFonts w:ascii="Arial" w:hAnsi="Arial" w:cs="Arial"/>
          <w:color w:val="000361"/>
          <w:sz w:val="20"/>
          <w:szCs w:val="20"/>
        </w:rPr>
      </w:pPr>
      <w:r>
        <w:rPr>
          <w:rFonts w:ascii="Arial" w:hAnsi="Arial" w:cs="Arial"/>
          <w:color w:val="000361"/>
          <w:sz w:val="20"/>
          <w:szCs w:val="20"/>
        </w:rPr>
        <w:br w:type="page"/>
      </w:r>
    </w:p>
    <w:tbl>
      <w:tblPr>
        <w:tblStyle w:val="Tablaconcuadrcula"/>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580"/>
        <w:gridCol w:w="4820"/>
      </w:tblGrid>
      <w:tr w:rsidR="001A6EA5" w:rsidTr="001A6EA5">
        <w:tc>
          <w:tcPr>
            <w:tcW w:w="9400" w:type="dxa"/>
            <w:gridSpan w:val="2"/>
          </w:tcPr>
          <w:p w:rsidR="001A6EA5" w:rsidRPr="001A6EA5" w:rsidRDefault="001A6EA5" w:rsidP="00E45480">
            <w:pPr>
              <w:jc w:val="both"/>
              <w:rPr>
                <w:noProof/>
                <w:color w:val="002060"/>
              </w:rPr>
            </w:pPr>
            <w:r w:rsidRPr="001A6EA5">
              <w:rPr>
                <w:rFonts w:ascii="Arial" w:hAnsi="Arial" w:cs="Arial"/>
                <w:noProof/>
                <w:color w:val="002060"/>
                <w:sz w:val="20"/>
                <w:szCs w:val="20"/>
              </w:rPr>
              <w:lastRenderedPageBreak/>
              <w:t>Gràfic 3.1</w:t>
            </w:r>
            <w:r w:rsidR="004A3E53">
              <w:rPr>
                <w:rFonts w:ascii="Arial" w:hAnsi="Arial" w:cs="Arial"/>
                <w:noProof/>
                <w:color w:val="002060"/>
                <w:sz w:val="20"/>
                <w:szCs w:val="20"/>
              </w:rPr>
              <w:t>6</w:t>
            </w:r>
            <w:r w:rsidRPr="001A6EA5">
              <w:rPr>
                <w:rFonts w:ascii="Arial" w:hAnsi="Arial" w:cs="Arial"/>
                <w:noProof/>
                <w:color w:val="002060"/>
                <w:sz w:val="20"/>
                <w:szCs w:val="20"/>
              </w:rPr>
              <w:t xml:space="preserve"> Rendibilitat financera del sector amb detall gràfic ampliat dels exercicis 2015-2019</w:t>
            </w:r>
          </w:p>
        </w:tc>
      </w:tr>
      <w:tr w:rsidR="00AA54AD" w:rsidTr="001A6EA5">
        <w:tc>
          <w:tcPr>
            <w:tcW w:w="4580" w:type="dxa"/>
          </w:tcPr>
          <w:p w:rsidR="00AA54AD" w:rsidRDefault="003C4E3D" w:rsidP="00E45480">
            <w:pPr>
              <w:jc w:val="both"/>
              <w:rPr>
                <w:rFonts w:ascii="Arial" w:hAnsi="Arial" w:cs="Arial"/>
                <w:color w:val="000361"/>
                <w:sz w:val="20"/>
                <w:szCs w:val="20"/>
              </w:rPr>
            </w:pPr>
            <w:r>
              <w:rPr>
                <w:noProof/>
              </w:rPr>
              <w:drawing>
                <wp:inline distT="0" distB="0" distL="0" distR="0" wp14:anchorId="4034A3D0" wp14:editId="63978334">
                  <wp:extent cx="2800985" cy="2352261"/>
                  <wp:effectExtent l="0" t="0" r="5715" b="0"/>
                  <wp:docPr id="3" name="Gráfico 3">
                    <a:extLst xmlns:a="http://schemas.openxmlformats.org/drawingml/2006/main">
                      <a:ext uri="{FF2B5EF4-FFF2-40B4-BE49-F238E27FC236}">
                        <a16:creationId xmlns:a16="http://schemas.microsoft.com/office/drawing/2014/main" id="{8AE1DF22-8788-8942-80BD-24F0B67A2B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c>
          <w:tcPr>
            <w:tcW w:w="4820" w:type="dxa"/>
          </w:tcPr>
          <w:p w:rsidR="00AA54AD" w:rsidRDefault="00B85ABC" w:rsidP="00E45480">
            <w:pPr>
              <w:jc w:val="both"/>
              <w:rPr>
                <w:rFonts w:ascii="Arial" w:hAnsi="Arial" w:cs="Arial"/>
                <w:color w:val="000361"/>
                <w:sz w:val="20"/>
                <w:szCs w:val="20"/>
              </w:rPr>
            </w:pPr>
            <w:r>
              <w:rPr>
                <w:noProof/>
              </w:rPr>
              <w:drawing>
                <wp:inline distT="0" distB="0" distL="0" distR="0" wp14:anchorId="3B5E9158" wp14:editId="6D8BFD25">
                  <wp:extent cx="2954407" cy="2352040"/>
                  <wp:effectExtent l="0" t="0" r="5080" b="0"/>
                  <wp:docPr id="22" name="Gráfico 22">
                    <a:extLst xmlns:a="http://schemas.openxmlformats.org/drawingml/2006/main">
                      <a:ext uri="{FF2B5EF4-FFF2-40B4-BE49-F238E27FC236}">
                        <a16:creationId xmlns:a16="http://schemas.microsoft.com/office/drawing/2014/main" id="{730696F6-014B-6448-866F-658215D2A7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r>
    </w:tbl>
    <w:p w:rsidR="004D7A9A" w:rsidRPr="001A6EA5" w:rsidRDefault="001A6EA5" w:rsidP="004D7A9A">
      <w:pPr>
        <w:jc w:val="both"/>
        <w:rPr>
          <w:rFonts w:ascii="Arial" w:hAnsi="Arial" w:cs="Arial"/>
          <w:color w:val="000361"/>
          <w:sz w:val="14"/>
          <w:szCs w:val="14"/>
        </w:rPr>
      </w:pPr>
      <w:r w:rsidRPr="001A6EA5">
        <w:rPr>
          <w:rFonts w:ascii="Arial" w:hAnsi="Arial" w:cs="Arial"/>
          <w:color w:val="000361"/>
          <w:sz w:val="14"/>
          <w:szCs w:val="14"/>
        </w:rPr>
        <w:t>Font:</w:t>
      </w:r>
      <w:r w:rsidR="004D7A9A" w:rsidRPr="001A6EA5">
        <w:rPr>
          <w:rFonts w:ascii="Arial" w:hAnsi="Arial" w:cs="Arial"/>
          <w:color w:val="000361"/>
          <w:sz w:val="14"/>
          <w:szCs w:val="14"/>
        </w:rPr>
        <w:t xml:space="preserve"> Reflecteix les dades la la taula d’elaboració pròpia que es troba </w:t>
      </w:r>
      <w:r w:rsidR="006356FD">
        <w:rPr>
          <w:rFonts w:ascii="Arial" w:hAnsi="Arial" w:cs="Arial"/>
          <w:color w:val="000361"/>
          <w:sz w:val="14"/>
          <w:szCs w:val="14"/>
        </w:rPr>
        <w:t>a l’annex 3.15</w:t>
      </w:r>
      <w:r w:rsidR="004D7A9A" w:rsidRPr="001A6EA5">
        <w:rPr>
          <w:rFonts w:ascii="Arial" w:hAnsi="Arial" w:cs="Arial"/>
          <w:color w:val="000361"/>
          <w:sz w:val="14"/>
          <w:szCs w:val="14"/>
        </w:rPr>
        <w:t>.</w:t>
      </w:r>
      <w:r w:rsidR="00B85ABC" w:rsidRPr="001A6EA5">
        <w:rPr>
          <w:rFonts w:ascii="Arial" w:hAnsi="Arial" w:cs="Arial"/>
          <w:color w:val="000361"/>
          <w:sz w:val="14"/>
          <w:szCs w:val="14"/>
        </w:rPr>
        <w:t xml:space="preserve"> (*) No s’ha tingut en compte l’empresa I</w:t>
      </w:r>
      <w:r w:rsidRPr="001A6EA5">
        <w:rPr>
          <w:rFonts w:ascii="Arial" w:hAnsi="Arial" w:cs="Arial"/>
          <w:color w:val="000361"/>
          <w:sz w:val="14"/>
          <w:szCs w:val="14"/>
        </w:rPr>
        <w:t>dexx</w:t>
      </w:r>
      <w:r w:rsidR="00B85ABC" w:rsidRPr="001A6EA5">
        <w:rPr>
          <w:rFonts w:ascii="Arial" w:hAnsi="Arial" w:cs="Arial"/>
          <w:color w:val="000361"/>
          <w:sz w:val="14"/>
          <w:szCs w:val="14"/>
        </w:rPr>
        <w:t xml:space="preserve"> pel càlcul de la mitjana perquè distorsiona la realitat sectorial.</w:t>
      </w:r>
    </w:p>
    <w:p w:rsidR="00C42D62" w:rsidRPr="004D7A9A" w:rsidRDefault="00C42D62" w:rsidP="00E45480">
      <w:pPr>
        <w:jc w:val="both"/>
        <w:rPr>
          <w:rFonts w:ascii="Arial" w:hAnsi="Arial" w:cs="Arial"/>
          <w:color w:val="000361"/>
          <w:sz w:val="16"/>
          <w:szCs w:val="16"/>
        </w:rPr>
      </w:pPr>
    </w:p>
    <w:p w:rsidR="00E45480" w:rsidRDefault="00E45480" w:rsidP="00E45480">
      <w:pPr>
        <w:jc w:val="both"/>
        <w:rPr>
          <w:rFonts w:ascii="Arial" w:hAnsi="Arial" w:cs="Arial"/>
          <w:color w:val="000361"/>
          <w:sz w:val="20"/>
          <w:szCs w:val="20"/>
        </w:rPr>
      </w:pPr>
      <w:r w:rsidRPr="00DD67A6">
        <w:rPr>
          <w:rFonts w:ascii="Arial" w:hAnsi="Arial" w:cs="Arial"/>
          <w:color w:val="000361"/>
          <w:sz w:val="20"/>
          <w:szCs w:val="20"/>
        </w:rPr>
        <w:t>3.</w:t>
      </w:r>
      <w:r>
        <w:rPr>
          <w:rFonts w:ascii="Arial" w:hAnsi="Arial" w:cs="Arial"/>
          <w:color w:val="000361"/>
          <w:sz w:val="20"/>
          <w:szCs w:val="20"/>
        </w:rPr>
        <w:t>4</w:t>
      </w:r>
      <w:r w:rsidRPr="00DD67A6">
        <w:rPr>
          <w:rFonts w:ascii="Arial" w:hAnsi="Arial" w:cs="Arial"/>
          <w:color w:val="000361"/>
          <w:sz w:val="20"/>
          <w:szCs w:val="20"/>
        </w:rPr>
        <w:t>.</w:t>
      </w:r>
      <w:r w:rsidR="00693617">
        <w:rPr>
          <w:rFonts w:ascii="Arial" w:hAnsi="Arial" w:cs="Arial"/>
          <w:color w:val="000361"/>
          <w:sz w:val="20"/>
          <w:szCs w:val="20"/>
        </w:rPr>
        <w:t>4</w:t>
      </w:r>
      <w:r w:rsidRPr="00DD67A6">
        <w:rPr>
          <w:rFonts w:ascii="Arial" w:hAnsi="Arial" w:cs="Arial"/>
          <w:color w:val="000361"/>
          <w:sz w:val="20"/>
          <w:szCs w:val="20"/>
        </w:rPr>
        <w:t xml:space="preserve">. </w:t>
      </w:r>
      <w:r>
        <w:rPr>
          <w:rFonts w:ascii="Arial" w:hAnsi="Arial" w:cs="Arial"/>
          <w:color w:val="000361"/>
          <w:sz w:val="20"/>
          <w:szCs w:val="20"/>
        </w:rPr>
        <w:t>Recull d</w:t>
      </w:r>
      <w:r w:rsidR="003C60AC">
        <w:rPr>
          <w:rFonts w:ascii="Arial" w:hAnsi="Arial" w:cs="Arial"/>
          <w:color w:val="000361"/>
          <w:sz w:val="20"/>
          <w:szCs w:val="20"/>
        </w:rPr>
        <w:t>els aspectes més rellevants</w:t>
      </w:r>
      <w:r w:rsidR="00B5605F">
        <w:rPr>
          <w:rFonts w:ascii="Arial" w:hAnsi="Arial" w:cs="Arial"/>
          <w:color w:val="000361"/>
          <w:sz w:val="20"/>
          <w:szCs w:val="20"/>
        </w:rPr>
        <w:t xml:space="preserve"> del sector</w:t>
      </w:r>
    </w:p>
    <w:p w:rsidR="00E45480" w:rsidRPr="00E45480" w:rsidRDefault="00E45480" w:rsidP="00E45480">
      <w:pPr>
        <w:jc w:val="both"/>
        <w:rPr>
          <w:rFonts w:ascii="Arial" w:hAnsi="Arial" w:cs="Arial"/>
          <w:color w:val="000361"/>
          <w:sz w:val="20"/>
          <w:szCs w:val="20"/>
        </w:rPr>
      </w:pPr>
    </w:p>
    <w:p w:rsidR="00AB0349" w:rsidRDefault="007D771F" w:rsidP="007D771F">
      <w:pPr>
        <w:pStyle w:val="Prrafodelista"/>
        <w:numPr>
          <w:ilvl w:val="0"/>
          <w:numId w:val="24"/>
        </w:numPr>
        <w:jc w:val="both"/>
        <w:rPr>
          <w:rFonts w:ascii="Arial" w:hAnsi="Arial" w:cs="Arial"/>
          <w:color w:val="000361"/>
          <w:sz w:val="20"/>
          <w:szCs w:val="20"/>
        </w:rPr>
      </w:pPr>
      <w:r>
        <w:rPr>
          <w:rFonts w:ascii="Arial" w:hAnsi="Arial" w:cs="Arial"/>
          <w:color w:val="000361"/>
          <w:sz w:val="20"/>
          <w:szCs w:val="20"/>
        </w:rPr>
        <w:t>El sector continua augmentant les seves vendes i millorant els resultats d’explotació, Hipra amb una facturació més petita</w:t>
      </w:r>
      <w:r w:rsidR="00E334F1">
        <w:rPr>
          <w:rFonts w:ascii="Arial" w:hAnsi="Arial" w:cs="Arial"/>
          <w:color w:val="000361"/>
          <w:sz w:val="20"/>
          <w:szCs w:val="20"/>
        </w:rPr>
        <w:t xml:space="preserve"> d’acord amb la seva mida empresarial</w:t>
      </w:r>
      <w:r>
        <w:rPr>
          <w:rFonts w:ascii="Arial" w:hAnsi="Arial" w:cs="Arial"/>
          <w:color w:val="000361"/>
          <w:sz w:val="20"/>
          <w:szCs w:val="20"/>
        </w:rPr>
        <w:t xml:space="preserve"> també ho fa.</w:t>
      </w:r>
    </w:p>
    <w:p w:rsidR="007D771F" w:rsidRDefault="007D771F" w:rsidP="007D771F">
      <w:pPr>
        <w:jc w:val="both"/>
        <w:rPr>
          <w:rFonts w:ascii="Arial" w:hAnsi="Arial" w:cs="Arial"/>
          <w:color w:val="000361"/>
          <w:sz w:val="20"/>
          <w:szCs w:val="20"/>
        </w:rPr>
      </w:pPr>
    </w:p>
    <w:p w:rsidR="007D771F" w:rsidRDefault="00E334F1" w:rsidP="007D771F">
      <w:pPr>
        <w:pStyle w:val="Prrafodelista"/>
        <w:numPr>
          <w:ilvl w:val="0"/>
          <w:numId w:val="24"/>
        </w:numPr>
        <w:jc w:val="both"/>
        <w:rPr>
          <w:rFonts w:ascii="Arial" w:hAnsi="Arial" w:cs="Arial"/>
          <w:color w:val="000361"/>
          <w:sz w:val="20"/>
          <w:szCs w:val="20"/>
        </w:rPr>
      </w:pPr>
      <w:r>
        <w:rPr>
          <w:rFonts w:ascii="Arial" w:hAnsi="Arial" w:cs="Arial"/>
          <w:color w:val="000361"/>
          <w:sz w:val="20"/>
          <w:szCs w:val="20"/>
        </w:rPr>
        <w:t xml:space="preserve">Hipra mostra uns nivells de liquiditat que tendeixen a </w:t>
      </w:r>
      <w:r w:rsidR="006012D2">
        <w:rPr>
          <w:rFonts w:ascii="Arial" w:hAnsi="Arial" w:cs="Arial"/>
          <w:color w:val="000361"/>
          <w:sz w:val="20"/>
          <w:szCs w:val="20"/>
        </w:rPr>
        <w:t>disminuir</w:t>
      </w:r>
      <w:r>
        <w:rPr>
          <w:rFonts w:ascii="Arial" w:hAnsi="Arial" w:cs="Arial"/>
          <w:color w:val="000361"/>
          <w:sz w:val="20"/>
          <w:szCs w:val="20"/>
        </w:rPr>
        <w:t xml:space="preserve"> tot i que amb valors una mica per sobre la mitjana del sector.</w:t>
      </w:r>
    </w:p>
    <w:p w:rsidR="00E334F1" w:rsidRDefault="00E334F1" w:rsidP="00E334F1">
      <w:pPr>
        <w:jc w:val="both"/>
        <w:rPr>
          <w:rFonts w:ascii="Arial" w:hAnsi="Arial" w:cs="Arial"/>
          <w:color w:val="000361"/>
          <w:sz w:val="20"/>
          <w:szCs w:val="20"/>
        </w:rPr>
      </w:pPr>
    </w:p>
    <w:p w:rsidR="00E334F1" w:rsidRDefault="00E334F1" w:rsidP="00E334F1">
      <w:pPr>
        <w:pStyle w:val="Prrafodelista"/>
        <w:numPr>
          <w:ilvl w:val="0"/>
          <w:numId w:val="24"/>
        </w:numPr>
        <w:jc w:val="both"/>
        <w:rPr>
          <w:rFonts w:ascii="Arial" w:hAnsi="Arial" w:cs="Arial"/>
          <w:color w:val="000361"/>
          <w:sz w:val="20"/>
          <w:szCs w:val="20"/>
        </w:rPr>
      </w:pPr>
      <w:r>
        <w:rPr>
          <w:rFonts w:ascii="Arial" w:hAnsi="Arial" w:cs="Arial"/>
          <w:color w:val="000361"/>
          <w:sz w:val="20"/>
          <w:szCs w:val="20"/>
        </w:rPr>
        <w:t xml:space="preserve">A </w:t>
      </w:r>
      <w:r w:rsidR="006012D2">
        <w:rPr>
          <w:rFonts w:ascii="Arial" w:hAnsi="Arial" w:cs="Arial"/>
          <w:color w:val="000361"/>
          <w:sz w:val="20"/>
          <w:szCs w:val="20"/>
        </w:rPr>
        <w:t>nivell</w:t>
      </w:r>
      <w:r>
        <w:rPr>
          <w:rFonts w:ascii="Arial" w:hAnsi="Arial" w:cs="Arial"/>
          <w:color w:val="000361"/>
          <w:sz w:val="20"/>
          <w:szCs w:val="20"/>
        </w:rPr>
        <w:t xml:space="preserve"> d’endeutament Hipra té amb valors propers a “0” que indiquen nivells d’endeutament molt baixos respecte la mitjana del sector que oscil·la amb valors entre 1,5 i 2,4.</w:t>
      </w:r>
    </w:p>
    <w:p w:rsidR="00E334F1" w:rsidRDefault="00E334F1" w:rsidP="00E334F1">
      <w:pPr>
        <w:jc w:val="both"/>
        <w:rPr>
          <w:rFonts w:ascii="Arial" w:hAnsi="Arial" w:cs="Arial"/>
          <w:color w:val="000361"/>
          <w:sz w:val="20"/>
          <w:szCs w:val="20"/>
        </w:rPr>
      </w:pPr>
    </w:p>
    <w:p w:rsidR="00E334F1" w:rsidRDefault="00E334F1" w:rsidP="00E334F1">
      <w:pPr>
        <w:pStyle w:val="Prrafodelista"/>
        <w:numPr>
          <w:ilvl w:val="0"/>
          <w:numId w:val="24"/>
        </w:numPr>
        <w:jc w:val="both"/>
        <w:rPr>
          <w:rFonts w:ascii="Arial" w:hAnsi="Arial" w:cs="Arial"/>
          <w:color w:val="000361"/>
          <w:sz w:val="20"/>
          <w:szCs w:val="20"/>
        </w:rPr>
      </w:pPr>
      <w:r>
        <w:rPr>
          <w:rFonts w:ascii="Arial" w:hAnsi="Arial" w:cs="Arial"/>
          <w:color w:val="000361"/>
          <w:sz w:val="20"/>
          <w:szCs w:val="20"/>
        </w:rPr>
        <w:t>Hipra té un fons de maniobra molt estable amb una ràtio molt ajustada a la mitjana del sector que indica que l’actiu corrent és aproximadament 2,5 vegades el passiu corrent.</w:t>
      </w:r>
    </w:p>
    <w:p w:rsidR="00E334F1" w:rsidRDefault="00E334F1" w:rsidP="00E334F1">
      <w:pPr>
        <w:jc w:val="both"/>
        <w:rPr>
          <w:rFonts w:ascii="Arial" w:hAnsi="Arial" w:cs="Arial"/>
          <w:color w:val="000361"/>
          <w:sz w:val="20"/>
          <w:szCs w:val="20"/>
        </w:rPr>
      </w:pPr>
    </w:p>
    <w:p w:rsidR="00E334F1" w:rsidRDefault="00E334F1" w:rsidP="00E334F1">
      <w:pPr>
        <w:pStyle w:val="Prrafodelista"/>
        <w:numPr>
          <w:ilvl w:val="0"/>
          <w:numId w:val="24"/>
        </w:numPr>
        <w:jc w:val="both"/>
        <w:rPr>
          <w:rFonts w:ascii="Arial" w:hAnsi="Arial" w:cs="Arial"/>
          <w:color w:val="000361"/>
          <w:sz w:val="20"/>
          <w:szCs w:val="20"/>
        </w:rPr>
      </w:pPr>
      <w:r>
        <w:rPr>
          <w:rFonts w:ascii="Arial" w:hAnsi="Arial" w:cs="Arial"/>
          <w:color w:val="000361"/>
          <w:sz w:val="20"/>
          <w:szCs w:val="20"/>
        </w:rPr>
        <w:t>El patrimoni net mitjà sectorial tendeix a créixer tal i com també ho fa Hipra.</w:t>
      </w:r>
    </w:p>
    <w:p w:rsidR="00E334F1" w:rsidRDefault="00E334F1" w:rsidP="00E334F1">
      <w:pPr>
        <w:jc w:val="both"/>
        <w:rPr>
          <w:rFonts w:ascii="Arial" w:hAnsi="Arial" w:cs="Arial"/>
          <w:color w:val="000361"/>
          <w:sz w:val="20"/>
          <w:szCs w:val="20"/>
        </w:rPr>
      </w:pPr>
    </w:p>
    <w:p w:rsidR="00E334F1" w:rsidRDefault="00E334F1" w:rsidP="00E334F1">
      <w:pPr>
        <w:pStyle w:val="Prrafodelista"/>
        <w:numPr>
          <w:ilvl w:val="0"/>
          <w:numId w:val="24"/>
        </w:numPr>
        <w:jc w:val="both"/>
        <w:rPr>
          <w:rFonts w:ascii="Arial" w:hAnsi="Arial" w:cs="Arial"/>
          <w:color w:val="000361"/>
          <w:sz w:val="20"/>
          <w:szCs w:val="20"/>
        </w:rPr>
      </w:pPr>
      <w:r>
        <w:rPr>
          <w:rFonts w:ascii="Arial" w:hAnsi="Arial" w:cs="Arial"/>
          <w:color w:val="000361"/>
          <w:sz w:val="20"/>
          <w:szCs w:val="20"/>
        </w:rPr>
        <w:t>És la segona empresa que obté millors rendibilitats econòmiques i es troba per damunt de la mitjana amb percentatges entre 15 i 20%. El marge sobre vendes i rotació dels actius es troben perfectament alineats amb els valors mitjans sectorials d’aquestes dues variables.</w:t>
      </w:r>
    </w:p>
    <w:p w:rsidR="00E334F1" w:rsidRDefault="00E334F1" w:rsidP="00E334F1">
      <w:pPr>
        <w:jc w:val="both"/>
        <w:rPr>
          <w:rFonts w:ascii="Arial" w:hAnsi="Arial" w:cs="Arial"/>
          <w:color w:val="000361"/>
          <w:sz w:val="20"/>
          <w:szCs w:val="20"/>
        </w:rPr>
      </w:pPr>
    </w:p>
    <w:p w:rsidR="00E334F1" w:rsidRPr="00E334F1" w:rsidRDefault="00E334F1" w:rsidP="00E334F1">
      <w:pPr>
        <w:pStyle w:val="Prrafodelista"/>
        <w:numPr>
          <w:ilvl w:val="0"/>
          <w:numId w:val="24"/>
        </w:numPr>
        <w:jc w:val="both"/>
        <w:rPr>
          <w:rFonts w:ascii="Arial" w:hAnsi="Arial" w:cs="Arial"/>
          <w:color w:val="000361"/>
          <w:sz w:val="20"/>
          <w:szCs w:val="20"/>
        </w:rPr>
      </w:pPr>
      <w:r>
        <w:rPr>
          <w:rFonts w:ascii="Arial" w:hAnsi="Arial" w:cs="Arial"/>
          <w:color w:val="000361"/>
          <w:sz w:val="20"/>
          <w:szCs w:val="20"/>
        </w:rPr>
        <w:t>Laboratoris Hipra té una rendibilitat financera inferior a la mitjana del sector degut a la gran proporció de fons propis emprats per finançar els actius de l’empresa.</w:t>
      </w:r>
    </w:p>
    <w:p w:rsidR="00AB0349" w:rsidRDefault="00AB0349" w:rsidP="002D48FA">
      <w:pPr>
        <w:jc w:val="both"/>
        <w:rPr>
          <w:rFonts w:ascii="Arial" w:hAnsi="Arial" w:cs="Arial"/>
          <w:b/>
          <w:color w:val="000361"/>
        </w:rPr>
      </w:pPr>
      <w:r>
        <w:rPr>
          <w:rFonts w:ascii="Arial" w:hAnsi="Arial" w:cs="Arial"/>
          <w:b/>
          <w:color w:val="000361"/>
        </w:rPr>
        <w:br w:type="page"/>
      </w:r>
    </w:p>
    <w:p w:rsidR="00AB387A" w:rsidRPr="00775233" w:rsidRDefault="00AB387A" w:rsidP="002D48FA">
      <w:pPr>
        <w:jc w:val="both"/>
        <w:rPr>
          <w:rFonts w:ascii="Arial" w:hAnsi="Arial" w:cs="Arial"/>
          <w:b/>
          <w:color w:val="000361"/>
        </w:rPr>
      </w:pPr>
      <w:r w:rsidRPr="00775233">
        <w:rPr>
          <w:rFonts w:ascii="Arial" w:hAnsi="Arial" w:cs="Arial"/>
          <w:b/>
          <w:color w:val="000361"/>
        </w:rPr>
        <w:lastRenderedPageBreak/>
        <w:t>3.</w:t>
      </w:r>
      <w:r w:rsidR="00775233" w:rsidRPr="00775233">
        <w:rPr>
          <w:rFonts w:ascii="Arial" w:hAnsi="Arial" w:cs="Arial"/>
          <w:b/>
          <w:color w:val="000361"/>
        </w:rPr>
        <w:t>5</w:t>
      </w:r>
      <w:r w:rsidRPr="00775233">
        <w:rPr>
          <w:rFonts w:ascii="Arial" w:hAnsi="Arial" w:cs="Arial"/>
          <w:b/>
          <w:color w:val="000361"/>
        </w:rPr>
        <w:t>. Matriu DAFO</w:t>
      </w:r>
    </w:p>
    <w:p w:rsidR="00106DD6" w:rsidRDefault="00106DD6" w:rsidP="002D48FA">
      <w:pPr>
        <w:jc w:val="both"/>
        <w:rPr>
          <w:rFonts w:ascii="Arial" w:hAnsi="Arial" w:cs="Arial"/>
          <w:b/>
          <w:color w:val="000361"/>
        </w:rPr>
      </w:pPr>
    </w:p>
    <w:p w:rsidR="00F87F4B" w:rsidRDefault="00F87F4B" w:rsidP="002D48FA">
      <w:pPr>
        <w:jc w:val="both"/>
        <w:rPr>
          <w:rFonts w:ascii="Arial" w:hAnsi="Arial" w:cs="Arial"/>
          <w:color w:val="002060"/>
          <w:sz w:val="20"/>
          <w:szCs w:val="20"/>
        </w:rPr>
      </w:pPr>
      <w:r>
        <w:rPr>
          <w:rFonts w:ascii="Arial" w:hAnsi="Arial" w:cs="Arial"/>
          <w:color w:val="002060"/>
          <w:sz w:val="20"/>
          <w:szCs w:val="20"/>
        </w:rPr>
        <w:t>Taula 3.</w:t>
      </w:r>
      <w:r w:rsidR="009244D9">
        <w:rPr>
          <w:rFonts w:ascii="Arial" w:hAnsi="Arial" w:cs="Arial"/>
          <w:color w:val="002060"/>
          <w:sz w:val="20"/>
          <w:szCs w:val="20"/>
        </w:rPr>
        <w:t>2</w:t>
      </w:r>
      <w:r>
        <w:rPr>
          <w:rFonts w:ascii="Arial" w:hAnsi="Arial" w:cs="Arial"/>
          <w:color w:val="002060"/>
          <w:sz w:val="20"/>
          <w:szCs w:val="20"/>
        </w:rPr>
        <w:t xml:space="preserve"> Matriu DAFO</w:t>
      </w:r>
    </w:p>
    <w:p w:rsidR="00F87F4B" w:rsidRPr="00F87F4B" w:rsidRDefault="00F87F4B" w:rsidP="002D48FA">
      <w:pPr>
        <w:jc w:val="both"/>
        <w:rPr>
          <w:rFonts w:ascii="Arial" w:hAnsi="Arial" w:cs="Arial"/>
          <w:color w:val="002060"/>
          <w:sz w:val="20"/>
          <w:szCs w:val="20"/>
        </w:rPr>
      </w:pPr>
    </w:p>
    <w:tbl>
      <w:tblPr>
        <w:tblStyle w:val="Tablaconcuadrcula"/>
        <w:tblW w:w="8891" w:type="dxa"/>
        <w:tblLook w:val="04A0" w:firstRow="1" w:lastRow="0" w:firstColumn="1" w:lastColumn="0" w:noHBand="0" w:noVBand="1"/>
      </w:tblPr>
      <w:tblGrid>
        <w:gridCol w:w="8891"/>
      </w:tblGrid>
      <w:tr w:rsidR="00EC34A1" w:rsidTr="00C32830">
        <w:trPr>
          <w:trHeight w:val="144"/>
        </w:trPr>
        <w:tc>
          <w:tcPr>
            <w:tcW w:w="8891" w:type="dxa"/>
            <w:shd w:val="clear" w:color="auto" w:fill="C5E0B3" w:themeFill="accent6" w:themeFillTint="66"/>
          </w:tcPr>
          <w:p w:rsidR="00EC34A1" w:rsidRDefault="00EC34A1" w:rsidP="002D48FA">
            <w:pPr>
              <w:jc w:val="both"/>
              <w:rPr>
                <w:rFonts w:ascii="Arial" w:hAnsi="Arial" w:cs="Arial"/>
                <w:b/>
                <w:color w:val="000361"/>
              </w:rPr>
            </w:pPr>
            <w:r>
              <w:rPr>
                <w:rFonts w:ascii="Arial" w:hAnsi="Arial" w:cs="Arial"/>
                <w:b/>
                <w:color w:val="000361"/>
              </w:rPr>
              <w:t>Fortaleses</w:t>
            </w:r>
          </w:p>
        </w:tc>
      </w:tr>
      <w:tr w:rsidR="00C12812" w:rsidTr="00C32830">
        <w:trPr>
          <w:trHeight w:val="1594"/>
        </w:trPr>
        <w:tc>
          <w:tcPr>
            <w:tcW w:w="8891" w:type="dxa"/>
            <w:tcBorders>
              <w:bottom w:val="single" w:sz="4" w:space="0" w:color="auto"/>
            </w:tcBorders>
          </w:tcPr>
          <w:p w:rsidR="00C12812" w:rsidRPr="00EC34A1" w:rsidRDefault="00C12812" w:rsidP="002D48FA">
            <w:pPr>
              <w:jc w:val="both"/>
              <w:rPr>
                <w:rFonts w:ascii="Arial" w:hAnsi="Arial" w:cs="Arial"/>
                <w:color w:val="000361"/>
                <w:sz w:val="20"/>
                <w:szCs w:val="20"/>
              </w:rPr>
            </w:pPr>
          </w:p>
          <w:p w:rsidR="00C12812" w:rsidRPr="00EC34A1" w:rsidRDefault="00EC34A1" w:rsidP="00C12812">
            <w:pPr>
              <w:pStyle w:val="Prrafodelista"/>
              <w:numPr>
                <w:ilvl w:val="0"/>
                <w:numId w:val="28"/>
              </w:numPr>
              <w:jc w:val="both"/>
              <w:rPr>
                <w:rFonts w:ascii="Arial" w:hAnsi="Arial" w:cs="Arial"/>
                <w:color w:val="000361"/>
                <w:sz w:val="20"/>
                <w:szCs w:val="20"/>
              </w:rPr>
            </w:pPr>
            <w:r>
              <w:rPr>
                <w:rFonts w:ascii="Arial" w:hAnsi="Arial" w:cs="Arial"/>
                <w:color w:val="000361"/>
                <w:sz w:val="20"/>
                <w:szCs w:val="20"/>
              </w:rPr>
              <w:t xml:space="preserve">Experiència, coneixement i tecnologia en </w:t>
            </w:r>
            <w:r w:rsidR="00C12812" w:rsidRPr="00EC34A1">
              <w:rPr>
                <w:rFonts w:ascii="Arial" w:hAnsi="Arial" w:cs="Arial"/>
                <w:color w:val="000361"/>
                <w:sz w:val="20"/>
                <w:szCs w:val="20"/>
              </w:rPr>
              <w:t>investigació i desenvolupament de vaccins animals.</w:t>
            </w:r>
          </w:p>
          <w:p w:rsidR="00C12812" w:rsidRPr="00EC34A1" w:rsidRDefault="00C12812" w:rsidP="00C12812">
            <w:pPr>
              <w:pStyle w:val="Prrafodelista"/>
              <w:jc w:val="both"/>
              <w:rPr>
                <w:rFonts w:ascii="Arial" w:hAnsi="Arial" w:cs="Arial"/>
                <w:color w:val="000361"/>
                <w:sz w:val="20"/>
                <w:szCs w:val="20"/>
              </w:rPr>
            </w:pPr>
          </w:p>
          <w:p w:rsidR="00C12812" w:rsidRPr="00EC34A1" w:rsidRDefault="00C12812" w:rsidP="00C12812">
            <w:pPr>
              <w:pStyle w:val="Prrafodelista"/>
              <w:numPr>
                <w:ilvl w:val="0"/>
                <w:numId w:val="28"/>
              </w:numPr>
              <w:jc w:val="both"/>
              <w:rPr>
                <w:rFonts w:ascii="Arial" w:hAnsi="Arial" w:cs="Arial"/>
                <w:color w:val="000361"/>
                <w:sz w:val="20"/>
                <w:szCs w:val="20"/>
              </w:rPr>
            </w:pPr>
            <w:r w:rsidRPr="00EC34A1">
              <w:rPr>
                <w:rFonts w:ascii="Arial" w:hAnsi="Arial" w:cs="Arial"/>
                <w:color w:val="000361"/>
                <w:sz w:val="20"/>
                <w:szCs w:val="20"/>
              </w:rPr>
              <w:t xml:space="preserve">Estratègia de diferenciació per mitjà </w:t>
            </w:r>
            <w:r w:rsidR="006012D2" w:rsidRPr="00EC34A1">
              <w:rPr>
                <w:rFonts w:ascii="Arial" w:hAnsi="Arial" w:cs="Arial"/>
                <w:color w:val="000361"/>
                <w:sz w:val="20"/>
                <w:szCs w:val="20"/>
              </w:rPr>
              <w:t>d</w:t>
            </w:r>
            <w:r w:rsidR="006012D2">
              <w:rPr>
                <w:rFonts w:ascii="Arial" w:hAnsi="Arial" w:cs="Arial"/>
                <w:color w:val="000361"/>
                <w:sz w:val="20"/>
                <w:szCs w:val="20"/>
              </w:rPr>
              <w:t>el</w:t>
            </w:r>
            <w:r w:rsidRPr="00EC34A1">
              <w:rPr>
                <w:rFonts w:ascii="Arial" w:hAnsi="Arial" w:cs="Arial"/>
                <w:color w:val="000361"/>
                <w:sz w:val="20"/>
                <w:szCs w:val="20"/>
              </w:rPr>
              <w:t xml:space="preserve"> nínxol de mercat de vaccins animals.</w:t>
            </w:r>
          </w:p>
          <w:p w:rsidR="00C12812" w:rsidRPr="00EC34A1" w:rsidRDefault="00C12812" w:rsidP="00C12812">
            <w:pPr>
              <w:pStyle w:val="Prrafodelista"/>
              <w:jc w:val="both"/>
              <w:rPr>
                <w:rFonts w:ascii="Arial" w:hAnsi="Arial" w:cs="Arial"/>
                <w:color w:val="000361"/>
                <w:sz w:val="20"/>
                <w:szCs w:val="20"/>
              </w:rPr>
            </w:pPr>
          </w:p>
          <w:p w:rsidR="00C12812" w:rsidRPr="00EC34A1" w:rsidRDefault="00C12812" w:rsidP="00C12812">
            <w:pPr>
              <w:pStyle w:val="Prrafodelista"/>
              <w:numPr>
                <w:ilvl w:val="0"/>
                <w:numId w:val="28"/>
              </w:numPr>
              <w:jc w:val="both"/>
              <w:rPr>
                <w:rFonts w:ascii="Arial" w:hAnsi="Arial" w:cs="Arial"/>
                <w:color w:val="000361"/>
                <w:sz w:val="20"/>
                <w:szCs w:val="20"/>
              </w:rPr>
            </w:pPr>
            <w:r w:rsidRPr="00EC34A1">
              <w:rPr>
                <w:rFonts w:ascii="Arial" w:hAnsi="Arial" w:cs="Arial"/>
                <w:color w:val="000361"/>
                <w:sz w:val="20"/>
                <w:szCs w:val="20"/>
              </w:rPr>
              <w:t>Assumeix totes les etapes de la cadena de valor, des de la investigació i  desenvolupament fins a la producció i comercialització dels produ</w:t>
            </w:r>
            <w:r w:rsidR="009601E4">
              <w:rPr>
                <w:rFonts w:ascii="Arial" w:hAnsi="Arial" w:cs="Arial"/>
                <w:color w:val="000361"/>
                <w:sz w:val="20"/>
                <w:szCs w:val="20"/>
              </w:rPr>
              <w:t>c</w:t>
            </w:r>
            <w:r w:rsidRPr="00EC34A1">
              <w:rPr>
                <w:rFonts w:ascii="Arial" w:hAnsi="Arial" w:cs="Arial"/>
                <w:color w:val="000361"/>
                <w:sz w:val="20"/>
                <w:szCs w:val="20"/>
              </w:rPr>
              <w:t>tes i serveis.</w:t>
            </w:r>
          </w:p>
          <w:p w:rsidR="00C12812" w:rsidRPr="00EC34A1" w:rsidRDefault="00C12812" w:rsidP="00C12812">
            <w:pPr>
              <w:jc w:val="both"/>
              <w:rPr>
                <w:rFonts w:ascii="Arial" w:hAnsi="Arial" w:cs="Arial"/>
                <w:color w:val="000361"/>
                <w:sz w:val="20"/>
                <w:szCs w:val="20"/>
              </w:rPr>
            </w:pPr>
          </w:p>
          <w:p w:rsidR="00C12812" w:rsidRPr="00EC34A1" w:rsidRDefault="00C12812" w:rsidP="00C12812">
            <w:pPr>
              <w:pStyle w:val="Prrafodelista"/>
              <w:numPr>
                <w:ilvl w:val="0"/>
                <w:numId w:val="28"/>
              </w:numPr>
              <w:jc w:val="both"/>
              <w:rPr>
                <w:rFonts w:ascii="Arial" w:hAnsi="Arial" w:cs="Arial"/>
                <w:color w:val="000361"/>
                <w:sz w:val="20"/>
                <w:szCs w:val="20"/>
              </w:rPr>
            </w:pPr>
            <w:r w:rsidRPr="00EC34A1">
              <w:rPr>
                <w:rFonts w:ascii="Arial" w:hAnsi="Arial" w:cs="Arial"/>
                <w:color w:val="000361"/>
                <w:sz w:val="20"/>
                <w:szCs w:val="20"/>
              </w:rPr>
              <w:t>Disposa d’una gran capacitat d’endeutament</w:t>
            </w:r>
            <w:r w:rsidR="00D734CC" w:rsidRPr="00EC34A1">
              <w:rPr>
                <w:rFonts w:ascii="Arial" w:hAnsi="Arial" w:cs="Arial"/>
                <w:color w:val="000361"/>
                <w:sz w:val="20"/>
                <w:szCs w:val="20"/>
              </w:rPr>
              <w:t>.</w:t>
            </w:r>
          </w:p>
          <w:p w:rsidR="00D734CC" w:rsidRPr="00EC34A1" w:rsidRDefault="00D734CC" w:rsidP="00D734CC">
            <w:pPr>
              <w:pStyle w:val="Prrafodelista"/>
              <w:jc w:val="both"/>
              <w:rPr>
                <w:rFonts w:ascii="Arial" w:hAnsi="Arial" w:cs="Arial"/>
                <w:color w:val="000361"/>
                <w:sz w:val="20"/>
                <w:szCs w:val="20"/>
              </w:rPr>
            </w:pPr>
          </w:p>
          <w:p w:rsidR="00D734CC" w:rsidRPr="00EC34A1" w:rsidRDefault="009046B2" w:rsidP="00D734CC">
            <w:pPr>
              <w:pStyle w:val="Prrafodelista"/>
              <w:numPr>
                <w:ilvl w:val="0"/>
                <w:numId w:val="28"/>
              </w:numPr>
              <w:jc w:val="both"/>
              <w:rPr>
                <w:rFonts w:ascii="Arial" w:hAnsi="Arial" w:cs="Arial"/>
                <w:color w:val="000361"/>
                <w:sz w:val="20"/>
                <w:szCs w:val="20"/>
              </w:rPr>
            </w:pPr>
            <w:r>
              <w:rPr>
                <w:rFonts w:ascii="Arial" w:hAnsi="Arial" w:cs="Arial"/>
                <w:color w:val="000361"/>
                <w:sz w:val="20"/>
                <w:szCs w:val="20"/>
              </w:rPr>
              <w:t>Aconsegueix una</w:t>
            </w:r>
            <w:r w:rsidR="00D734CC" w:rsidRPr="00EC34A1">
              <w:rPr>
                <w:rFonts w:ascii="Arial" w:hAnsi="Arial" w:cs="Arial"/>
                <w:color w:val="000361"/>
                <w:sz w:val="20"/>
                <w:szCs w:val="20"/>
              </w:rPr>
              <w:t xml:space="preserve"> bona rendibilitat econòmica per damunt de la mitjana sectorial.</w:t>
            </w:r>
          </w:p>
          <w:p w:rsidR="00D734CC" w:rsidRPr="00EC34A1" w:rsidRDefault="00D734CC" w:rsidP="00D734CC">
            <w:pPr>
              <w:pStyle w:val="Prrafodelista"/>
              <w:jc w:val="both"/>
              <w:rPr>
                <w:rFonts w:ascii="Arial" w:hAnsi="Arial" w:cs="Arial"/>
                <w:color w:val="000361"/>
                <w:sz w:val="20"/>
                <w:szCs w:val="20"/>
              </w:rPr>
            </w:pPr>
          </w:p>
          <w:p w:rsidR="00C12812" w:rsidRDefault="00D734CC" w:rsidP="00EC34A1">
            <w:pPr>
              <w:pStyle w:val="Prrafodelista"/>
              <w:numPr>
                <w:ilvl w:val="0"/>
                <w:numId w:val="28"/>
              </w:numPr>
              <w:jc w:val="both"/>
              <w:rPr>
                <w:rFonts w:ascii="Arial" w:hAnsi="Arial" w:cs="Arial"/>
                <w:color w:val="000361"/>
                <w:sz w:val="20"/>
                <w:szCs w:val="20"/>
              </w:rPr>
            </w:pPr>
            <w:r w:rsidRPr="00EC34A1">
              <w:rPr>
                <w:rFonts w:ascii="Arial" w:hAnsi="Arial" w:cs="Arial"/>
                <w:color w:val="000361"/>
                <w:sz w:val="20"/>
                <w:szCs w:val="20"/>
              </w:rPr>
              <w:t>Àmplia xarxa de distribució comercial</w:t>
            </w:r>
            <w:r w:rsidR="009046B2">
              <w:rPr>
                <w:rFonts w:ascii="Arial" w:hAnsi="Arial" w:cs="Arial"/>
                <w:color w:val="000361"/>
                <w:sz w:val="20"/>
                <w:szCs w:val="20"/>
              </w:rPr>
              <w:t xml:space="preserve"> internacional pròpia</w:t>
            </w:r>
            <w:r w:rsidRPr="00EC34A1">
              <w:rPr>
                <w:rFonts w:ascii="Arial" w:hAnsi="Arial" w:cs="Arial"/>
                <w:color w:val="000361"/>
                <w:sz w:val="20"/>
                <w:szCs w:val="20"/>
              </w:rPr>
              <w:t xml:space="preserve">. </w:t>
            </w:r>
          </w:p>
          <w:p w:rsidR="00C12812" w:rsidRPr="00F51F5F" w:rsidRDefault="00C12812" w:rsidP="00F51F5F">
            <w:pPr>
              <w:jc w:val="both"/>
              <w:rPr>
                <w:rFonts w:ascii="Arial" w:hAnsi="Arial" w:cs="Arial"/>
                <w:b/>
                <w:color w:val="000361"/>
              </w:rPr>
            </w:pPr>
          </w:p>
        </w:tc>
      </w:tr>
      <w:tr w:rsidR="00EC34A1" w:rsidTr="00C32830">
        <w:trPr>
          <w:trHeight w:val="129"/>
        </w:trPr>
        <w:tc>
          <w:tcPr>
            <w:tcW w:w="8891" w:type="dxa"/>
            <w:shd w:val="clear" w:color="auto" w:fill="FFE599" w:themeFill="accent4" w:themeFillTint="66"/>
          </w:tcPr>
          <w:p w:rsidR="00EC34A1" w:rsidRDefault="00EC34A1" w:rsidP="001F18B3">
            <w:pPr>
              <w:jc w:val="right"/>
              <w:rPr>
                <w:rFonts w:ascii="Arial" w:hAnsi="Arial" w:cs="Arial"/>
                <w:b/>
                <w:color w:val="000361"/>
              </w:rPr>
            </w:pPr>
            <w:r>
              <w:rPr>
                <w:rFonts w:ascii="Arial" w:hAnsi="Arial" w:cs="Arial"/>
                <w:b/>
                <w:color w:val="000361"/>
              </w:rPr>
              <w:t>Debilitats</w:t>
            </w:r>
          </w:p>
        </w:tc>
      </w:tr>
      <w:tr w:rsidR="00EC34A1" w:rsidTr="00C32830">
        <w:trPr>
          <w:trHeight w:val="1525"/>
        </w:trPr>
        <w:tc>
          <w:tcPr>
            <w:tcW w:w="8891" w:type="dxa"/>
            <w:tcBorders>
              <w:bottom w:val="single" w:sz="4" w:space="0" w:color="auto"/>
            </w:tcBorders>
          </w:tcPr>
          <w:p w:rsidR="00EC34A1" w:rsidRDefault="00EC34A1" w:rsidP="00EC34A1">
            <w:pPr>
              <w:pStyle w:val="Prrafodelista"/>
              <w:jc w:val="both"/>
              <w:rPr>
                <w:rFonts w:ascii="Arial" w:hAnsi="Arial" w:cs="Arial"/>
                <w:color w:val="000361"/>
                <w:sz w:val="20"/>
                <w:szCs w:val="20"/>
              </w:rPr>
            </w:pPr>
          </w:p>
          <w:p w:rsidR="00EC34A1" w:rsidRDefault="00EC34A1" w:rsidP="001F18B3">
            <w:pPr>
              <w:pStyle w:val="Prrafodelista"/>
              <w:numPr>
                <w:ilvl w:val="0"/>
                <w:numId w:val="31"/>
              </w:numPr>
              <w:jc w:val="both"/>
              <w:rPr>
                <w:rFonts w:ascii="Arial" w:hAnsi="Arial" w:cs="Arial"/>
                <w:color w:val="000361"/>
                <w:sz w:val="20"/>
                <w:szCs w:val="20"/>
              </w:rPr>
            </w:pPr>
            <w:r w:rsidRPr="009046B2">
              <w:rPr>
                <w:rFonts w:ascii="Arial" w:hAnsi="Arial" w:cs="Arial"/>
                <w:color w:val="000361"/>
                <w:sz w:val="20"/>
                <w:szCs w:val="20"/>
              </w:rPr>
              <w:t xml:space="preserve">Exposició al risc pel tipus de canvi </w:t>
            </w:r>
            <w:r w:rsidR="00546819" w:rsidRPr="009046B2">
              <w:rPr>
                <w:rFonts w:ascii="Arial" w:hAnsi="Arial" w:cs="Arial"/>
                <w:color w:val="000361"/>
                <w:sz w:val="20"/>
                <w:szCs w:val="20"/>
              </w:rPr>
              <w:t>respecte el dòlar</w:t>
            </w:r>
            <w:r w:rsidR="009046B2">
              <w:rPr>
                <w:rFonts w:ascii="Arial" w:hAnsi="Arial" w:cs="Arial"/>
                <w:color w:val="000361"/>
                <w:sz w:val="20"/>
                <w:szCs w:val="20"/>
              </w:rPr>
              <w:t xml:space="preserve"> en el comerç internacional.</w:t>
            </w:r>
          </w:p>
          <w:p w:rsidR="009046B2" w:rsidRPr="009046B2" w:rsidRDefault="009046B2" w:rsidP="009046B2">
            <w:pPr>
              <w:pStyle w:val="Prrafodelista"/>
              <w:jc w:val="both"/>
              <w:rPr>
                <w:rFonts w:ascii="Arial" w:hAnsi="Arial" w:cs="Arial"/>
                <w:color w:val="000361"/>
                <w:sz w:val="20"/>
                <w:szCs w:val="20"/>
              </w:rPr>
            </w:pPr>
          </w:p>
          <w:p w:rsidR="00EC34A1" w:rsidRPr="00EC34A1" w:rsidRDefault="00EC34A1" w:rsidP="00EC34A1">
            <w:pPr>
              <w:pStyle w:val="Prrafodelista"/>
              <w:numPr>
                <w:ilvl w:val="0"/>
                <w:numId w:val="31"/>
              </w:numPr>
              <w:jc w:val="both"/>
              <w:rPr>
                <w:rFonts w:ascii="Arial" w:hAnsi="Arial" w:cs="Arial"/>
                <w:color w:val="000361"/>
                <w:sz w:val="20"/>
                <w:szCs w:val="20"/>
              </w:rPr>
            </w:pPr>
            <w:r w:rsidRPr="00EC34A1">
              <w:rPr>
                <w:rFonts w:ascii="Arial" w:hAnsi="Arial" w:cs="Arial"/>
                <w:color w:val="000361"/>
                <w:sz w:val="20"/>
                <w:szCs w:val="20"/>
              </w:rPr>
              <w:t>Riscos associats a la investigació.</w:t>
            </w:r>
          </w:p>
          <w:p w:rsidR="00EC34A1" w:rsidRPr="00EC34A1" w:rsidRDefault="00EC34A1" w:rsidP="00EC34A1">
            <w:pPr>
              <w:pStyle w:val="Prrafodelista"/>
              <w:jc w:val="both"/>
              <w:rPr>
                <w:rFonts w:ascii="Arial" w:hAnsi="Arial" w:cs="Arial"/>
                <w:color w:val="000361"/>
                <w:sz w:val="20"/>
                <w:szCs w:val="20"/>
              </w:rPr>
            </w:pPr>
          </w:p>
          <w:p w:rsidR="00EC34A1" w:rsidRPr="009046B2" w:rsidRDefault="003912AD" w:rsidP="00EC34A1">
            <w:pPr>
              <w:pStyle w:val="Prrafodelista"/>
              <w:numPr>
                <w:ilvl w:val="0"/>
                <w:numId w:val="31"/>
              </w:numPr>
              <w:jc w:val="both"/>
              <w:rPr>
                <w:rFonts w:ascii="Arial" w:hAnsi="Arial" w:cs="Arial"/>
                <w:b/>
                <w:color w:val="000361"/>
              </w:rPr>
            </w:pPr>
            <w:r>
              <w:rPr>
                <w:rFonts w:ascii="Arial" w:hAnsi="Arial" w:cs="Arial"/>
                <w:color w:val="000361"/>
                <w:sz w:val="20"/>
                <w:szCs w:val="20"/>
              </w:rPr>
              <w:t>Rendibilitat financera per sota la mitjana sectorial</w:t>
            </w:r>
          </w:p>
          <w:p w:rsidR="009046B2" w:rsidRDefault="009046B2" w:rsidP="009046B2">
            <w:pPr>
              <w:pStyle w:val="Prrafodelista"/>
              <w:jc w:val="both"/>
              <w:rPr>
                <w:rFonts w:ascii="Arial" w:hAnsi="Arial" w:cs="Arial"/>
                <w:b/>
                <w:color w:val="000361"/>
              </w:rPr>
            </w:pPr>
          </w:p>
          <w:p w:rsidR="009046B2" w:rsidRPr="00EC34A1" w:rsidRDefault="009046B2" w:rsidP="009046B2">
            <w:pPr>
              <w:pStyle w:val="Prrafodelista"/>
              <w:numPr>
                <w:ilvl w:val="0"/>
                <w:numId w:val="31"/>
              </w:numPr>
              <w:jc w:val="both"/>
              <w:rPr>
                <w:rFonts w:ascii="Arial" w:hAnsi="Arial" w:cs="Arial"/>
                <w:b/>
                <w:color w:val="000361"/>
              </w:rPr>
            </w:pPr>
            <w:r>
              <w:rPr>
                <w:rFonts w:ascii="Arial" w:hAnsi="Arial" w:cs="Arial"/>
                <w:color w:val="000361"/>
                <w:sz w:val="20"/>
                <w:szCs w:val="20"/>
              </w:rPr>
              <w:t>Mida de l’empresa respecte la competència</w:t>
            </w:r>
          </w:p>
          <w:p w:rsidR="00EC34A1" w:rsidRPr="00EC34A1" w:rsidRDefault="00EC34A1" w:rsidP="00EC34A1">
            <w:pPr>
              <w:pStyle w:val="Prrafodelista"/>
              <w:jc w:val="both"/>
              <w:rPr>
                <w:rFonts w:ascii="Arial" w:hAnsi="Arial" w:cs="Arial"/>
                <w:b/>
                <w:color w:val="000361"/>
              </w:rPr>
            </w:pPr>
          </w:p>
        </w:tc>
      </w:tr>
      <w:tr w:rsidR="00EC34A1" w:rsidTr="00C32830">
        <w:trPr>
          <w:trHeight w:val="236"/>
        </w:trPr>
        <w:tc>
          <w:tcPr>
            <w:tcW w:w="8891" w:type="dxa"/>
            <w:shd w:val="clear" w:color="auto" w:fill="C5E0B3" w:themeFill="accent6" w:themeFillTint="66"/>
          </w:tcPr>
          <w:p w:rsidR="00EC34A1" w:rsidRPr="00EC34A1" w:rsidRDefault="00EC34A1" w:rsidP="00EC34A1">
            <w:pPr>
              <w:jc w:val="both"/>
              <w:rPr>
                <w:rFonts w:ascii="Arial" w:hAnsi="Arial" w:cs="Arial"/>
                <w:b/>
                <w:color w:val="000361"/>
              </w:rPr>
            </w:pPr>
            <w:r>
              <w:rPr>
                <w:rFonts w:ascii="Arial" w:hAnsi="Arial" w:cs="Arial"/>
                <w:b/>
                <w:color w:val="000361"/>
              </w:rPr>
              <w:t>Oportunitats</w:t>
            </w:r>
          </w:p>
        </w:tc>
      </w:tr>
      <w:tr w:rsidR="00EC34A1" w:rsidTr="00C32830">
        <w:trPr>
          <w:trHeight w:val="1525"/>
        </w:trPr>
        <w:tc>
          <w:tcPr>
            <w:tcW w:w="8891" w:type="dxa"/>
            <w:tcBorders>
              <w:bottom w:val="single" w:sz="4" w:space="0" w:color="auto"/>
            </w:tcBorders>
          </w:tcPr>
          <w:p w:rsidR="00EC34A1" w:rsidRDefault="00EC34A1" w:rsidP="00EC34A1">
            <w:pPr>
              <w:pStyle w:val="Prrafodelista"/>
              <w:jc w:val="both"/>
              <w:rPr>
                <w:rFonts w:ascii="Arial" w:hAnsi="Arial" w:cs="Arial"/>
                <w:color w:val="000361"/>
                <w:sz w:val="20"/>
                <w:szCs w:val="20"/>
              </w:rPr>
            </w:pPr>
          </w:p>
          <w:p w:rsidR="00EC34A1" w:rsidRPr="00EC34A1" w:rsidRDefault="00EC34A1" w:rsidP="00EC34A1">
            <w:pPr>
              <w:pStyle w:val="Prrafodelista"/>
              <w:numPr>
                <w:ilvl w:val="0"/>
                <w:numId w:val="28"/>
              </w:numPr>
              <w:jc w:val="both"/>
              <w:rPr>
                <w:rFonts w:ascii="Arial" w:hAnsi="Arial" w:cs="Arial"/>
                <w:color w:val="000361"/>
                <w:sz w:val="20"/>
                <w:szCs w:val="20"/>
              </w:rPr>
            </w:pPr>
            <w:r w:rsidRPr="00EC34A1">
              <w:rPr>
                <w:rFonts w:ascii="Arial" w:hAnsi="Arial" w:cs="Arial"/>
                <w:color w:val="000361"/>
                <w:sz w:val="20"/>
                <w:szCs w:val="20"/>
              </w:rPr>
              <w:t>Importants barreres d’entrada al mercat</w:t>
            </w:r>
            <w:r w:rsidR="009046B2">
              <w:rPr>
                <w:rFonts w:ascii="Arial" w:hAnsi="Arial" w:cs="Arial"/>
                <w:color w:val="000361"/>
                <w:sz w:val="20"/>
                <w:szCs w:val="20"/>
              </w:rPr>
              <w:t xml:space="preserve"> (capital, tecnologia, experiència i know-how)</w:t>
            </w:r>
          </w:p>
          <w:p w:rsidR="00EC34A1" w:rsidRPr="00EC34A1" w:rsidRDefault="00EC34A1" w:rsidP="00EC34A1">
            <w:pPr>
              <w:pStyle w:val="Prrafodelista"/>
              <w:jc w:val="both"/>
              <w:rPr>
                <w:rFonts w:ascii="Arial" w:hAnsi="Arial" w:cs="Arial"/>
                <w:color w:val="000361"/>
                <w:sz w:val="20"/>
                <w:szCs w:val="20"/>
              </w:rPr>
            </w:pPr>
          </w:p>
          <w:p w:rsidR="00EC34A1" w:rsidRPr="00EC34A1" w:rsidRDefault="00EC34A1" w:rsidP="00EC34A1">
            <w:pPr>
              <w:pStyle w:val="Prrafodelista"/>
              <w:numPr>
                <w:ilvl w:val="0"/>
                <w:numId w:val="28"/>
              </w:numPr>
              <w:jc w:val="both"/>
              <w:rPr>
                <w:rFonts w:ascii="Arial" w:hAnsi="Arial" w:cs="Arial"/>
                <w:color w:val="000361"/>
                <w:sz w:val="20"/>
                <w:szCs w:val="20"/>
              </w:rPr>
            </w:pPr>
            <w:r w:rsidRPr="00EC34A1">
              <w:rPr>
                <w:rFonts w:ascii="Arial" w:hAnsi="Arial" w:cs="Arial"/>
                <w:color w:val="000361"/>
                <w:sz w:val="20"/>
                <w:szCs w:val="20"/>
              </w:rPr>
              <w:t>El mercat farmacèutic de Salut Animal segueix creixent sobretot el d’animals domèstics als països del Sud-Est Asiàtic.</w:t>
            </w:r>
          </w:p>
          <w:p w:rsidR="00EC34A1" w:rsidRPr="00EC34A1" w:rsidRDefault="00EC34A1" w:rsidP="00EC34A1">
            <w:pPr>
              <w:pStyle w:val="Prrafodelista"/>
              <w:jc w:val="both"/>
              <w:rPr>
                <w:rFonts w:ascii="Arial" w:hAnsi="Arial" w:cs="Arial"/>
                <w:color w:val="000361"/>
                <w:sz w:val="20"/>
                <w:szCs w:val="20"/>
              </w:rPr>
            </w:pPr>
          </w:p>
          <w:p w:rsidR="00EC34A1" w:rsidRPr="00F51F5F" w:rsidRDefault="00EC34A1" w:rsidP="00EC34A1">
            <w:pPr>
              <w:pStyle w:val="Prrafodelista"/>
              <w:numPr>
                <w:ilvl w:val="0"/>
                <w:numId w:val="28"/>
              </w:numPr>
              <w:jc w:val="both"/>
              <w:rPr>
                <w:rFonts w:ascii="Arial" w:hAnsi="Arial" w:cs="Arial"/>
                <w:b/>
                <w:color w:val="000361"/>
              </w:rPr>
            </w:pPr>
            <w:r w:rsidRPr="00EC34A1">
              <w:rPr>
                <w:rFonts w:ascii="Arial" w:hAnsi="Arial" w:cs="Arial"/>
                <w:color w:val="000361"/>
                <w:sz w:val="20"/>
                <w:szCs w:val="20"/>
              </w:rPr>
              <w:t xml:space="preserve">Tipus d’interès baixos </w:t>
            </w:r>
            <w:r w:rsidR="00C32830">
              <w:rPr>
                <w:rFonts w:ascii="Arial" w:hAnsi="Arial" w:cs="Arial"/>
                <w:color w:val="000361"/>
                <w:sz w:val="20"/>
                <w:szCs w:val="20"/>
              </w:rPr>
              <w:t>per aconseguir</w:t>
            </w:r>
            <w:r w:rsidRPr="00EC34A1">
              <w:rPr>
                <w:rFonts w:ascii="Arial" w:hAnsi="Arial" w:cs="Arial"/>
                <w:color w:val="000361"/>
                <w:sz w:val="20"/>
                <w:szCs w:val="20"/>
              </w:rPr>
              <w:t xml:space="preserve"> finançament aliè.</w:t>
            </w:r>
          </w:p>
          <w:p w:rsidR="00F51F5F" w:rsidRDefault="00F51F5F" w:rsidP="00F51F5F">
            <w:pPr>
              <w:pStyle w:val="Prrafodelista"/>
              <w:jc w:val="both"/>
              <w:rPr>
                <w:rFonts w:ascii="Arial" w:hAnsi="Arial" w:cs="Arial"/>
                <w:b/>
                <w:color w:val="000361"/>
              </w:rPr>
            </w:pPr>
          </w:p>
          <w:p w:rsidR="00F51F5F" w:rsidRPr="00EC34A1" w:rsidRDefault="00F51F5F" w:rsidP="00F51F5F">
            <w:pPr>
              <w:pStyle w:val="Prrafodelista"/>
              <w:numPr>
                <w:ilvl w:val="0"/>
                <w:numId w:val="28"/>
              </w:numPr>
              <w:jc w:val="both"/>
              <w:rPr>
                <w:rFonts w:ascii="Arial" w:hAnsi="Arial" w:cs="Arial"/>
                <w:b/>
                <w:color w:val="000361"/>
              </w:rPr>
            </w:pPr>
            <w:r>
              <w:rPr>
                <w:rFonts w:ascii="Arial" w:hAnsi="Arial" w:cs="Arial"/>
                <w:color w:val="000361"/>
                <w:sz w:val="20"/>
                <w:szCs w:val="20"/>
              </w:rPr>
              <w:t>La necessitat de vacunes per fer front a la COVID</w:t>
            </w:r>
          </w:p>
          <w:p w:rsidR="00EC34A1" w:rsidRPr="00EC34A1" w:rsidRDefault="00EC34A1" w:rsidP="00EC34A1">
            <w:pPr>
              <w:pStyle w:val="Prrafodelista"/>
              <w:jc w:val="both"/>
              <w:rPr>
                <w:rFonts w:ascii="Arial" w:hAnsi="Arial" w:cs="Arial"/>
                <w:b/>
                <w:color w:val="000361"/>
              </w:rPr>
            </w:pPr>
          </w:p>
        </w:tc>
      </w:tr>
      <w:tr w:rsidR="00EC34A1" w:rsidTr="00C32830">
        <w:trPr>
          <w:trHeight w:val="58"/>
        </w:trPr>
        <w:tc>
          <w:tcPr>
            <w:tcW w:w="8891" w:type="dxa"/>
            <w:shd w:val="clear" w:color="auto" w:fill="FFE599" w:themeFill="accent4" w:themeFillTint="66"/>
          </w:tcPr>
          <w:p w:rsidR="00EC34A1" w:rsidRPr="00EC34A1" w:rsidRDefault="00EC34A1" w:rsidP="00EC34A1">
            <w:pPr>
              <w:jc w:val="right"/>
              <w:rPr>
                <w:rFonts w:ascii="Arial" w:hAnsi="Arial" w:cs="Arial"/>
                <w:b/>
                <w:color w:val="000361"/>
              </w:rPr>
            </w:pPr>
            <w:r>
              <w:rPr>
                <w:rFonts w:ascii="Arial" w:hAnsi="Arial" w:cs="Arial"/>
                <w:b/>
                <w:color w:val="000361"/>
              </w:rPr>
              <w:t>Amenaces</w:t>
            </w:r>
          </w:p>
        </w:tc>
      </w:tr>
      <w:tr w:rsidR="00EC34A1" w:rsidTr="00F87F4B">
        <w:trPr>
          <w:trHeight w:val="2391"/>
        </w:trPr>
        <w:tc>
          <w:tcPr>
            <w:tcW w:w="8891" w:type="dxa"/>
          </w:tcPr>
          <w:p w:rsidR="00EC34A1" w:rsidRPr="00EC34A1" w:rsidRDefault="00EC34A1" w:rsidP="002D48FA">
            <w:pPr>
              <w:jc w:val="both"/>
              <w:rPr>
                <w:rFonts w:ascii="Arial" w:hAnsi="Arial" w:cs="Arial"/>
                <w:color w:val="000361"/>
                <w:sz w:val="20"/>
                <w:szCs w:val="20"/>
              </w:rPr>
            </w:pPr>
          </w:p>
          <w:p w:rsidR="00EC34A1" w:rsidRPr="00EC34A1" w:rsidRDefault="00EC34A1" w:rsidP="00C12812">
            <w:pPr>
              <w:pStyle w:val="Prrafodelista"/>
              <w:numPr>
                <w:ilvl w:val="0"/>
                <w:numId w:val="30"/>
              </w:numPr>
              <w:jc w:val="both"/>
              <w:rPr>
                <w:rFonts w:ascii="Arial" w:hAnsi="Arial" w:cs="Arial"/>
                <w:color w:val="000361"/>
                <w:sz w:val="20"/>
                <w:szCs w:val="20"/>
              </w:rPr>
            </w:pPr>
            <w:r w:rsidRPr="00EC34A1">
              <w:rPr>
                <w:rFonts w:ascii="Arial" w:hAnsi="Arial" w:cs="Arial"/>
                <w:color w:val="000361"/>
                <w:sz w:val="20"/>
                <w:szCs w:val="20"/>
              </w:rPr>
              <w:t>Crisi social, sanitària i econòmica provocada pel COVID-19.</w:t>
            </w:r>
          </w:p>
          <w:p w:rsidR="00EC34A1" w:rsidRPr="00EC34A1" w:rsidRDefault="00EC34A1" w:rsidP="00D734CC">
            <w:pPr>
              <w:pStyle w:val="Prrafodelista"/>
              <w:jc w:val="both"/>
              <w:rPr>
                <w:rFonts w:ascii="Arial" w:hAnsi="Arial" w:cs="Arial"/>
                <w:color w:val="000361"/>
                <w:sz w:val="20"/>
                <w:szCs w:val="20"/>
              </w:rPr>
            </w:pPr>
          </w:p>
          <w:p w:rsidR="00EC34A1" w:rsidRDefault="00EC34A1" w:rsidP="00C12812">
            <w:pPr>
              <w:pStyle w:val="Prrafodelista"/>
              <w:numPr>
                <w:ilvl w:val="0"/>
                <w:numId w:val="30"/>
              </w:numPr>
              <w:jc w:val="both"/>
              <w:rPr>
                <w:rFonts w:ascii="Arial" w:hAnsi="Arial" w:cs="Arial"/>
                <w:color w:val="000361"/>
                <w:sz w:val="20"/>
                <w:szCs w:val="20"/>
              </w:rPr>
            </w:pPr>
            <w:r w:rsidRPr="00EC34A1">
              <w:rPr>
                <w:rFonts w:ascii="Arial" w:hAnsi="Arial" w:cs="Arial"/>
                <w:color w:val="000361"/>
                <w:sz w:val="20"/>
                <w:szCs w:val="20"/>
              </w:rPr>
              <w:t xml:space="preserve">Alta concentració del mercat en grans empreses </w:t>
            </w:r>
            <w:r w:rsidR="009046B2">
              <w:rPr>
                <w:rFonts w:ascii="Arial" w:hAnsi="Arial" w:cs="Arial"/>
                <w:color w:val="000361"/>
                <w:sz w:val="20"/>
                <w:szCs w:val="20"/>
              </w:rPr>
              <w:t>de salut animal.</w:t>
            </w:r>
          </w:p>
          <w:p w:rsidR="00C32830" w:rsidRDefault="00C32830" w:rsidP="00C32830">
            <w:pPr>
              <w:jc w:val="both"/>
              <w:rPr>
                <w:rFonts w:ascii="Arial" w:hAnsi="Arial" w:cs="Arial"/>
                <w:color w:val="000361"/>
                <w:sz w:val="20"/>
                <w:szCs w:val="20"/>
              </w:rPr>
            </w:pPr>
          </w:p>
          <w:p w:rsidR="00C32830" w:rsidRDefault="00C32830" w:rsidP="00C32830">
            <w:pPr>
              <w:pStyle w:val="Prrafodelista"/>
              <w:numPr>
                <w:ilvl w:val="0"/>
                <w:numId w:val="30"/>
              </w:numPr>
              <w:jc w:val="both"/>
              <w:rPr>
                <w:rFonts w:ascii="Arial" w:hAnsi="Arial" w:cs="Arial"/>
                <w:color w:val="000361"/>
                <w:sz w:val="20"/>
                <w:szCs w:val="20"/>
              </w:rPr>
            </w:pPr>
            <w:r>
              <w:rPr>
                <w:rFonts w:ascii="Arial" w:hAnsi="Arial" w:cs="Arial"/>
                <w:color w:val="000361"/>
                <w:sz w:val="20"/>
                <w:szCs w:val="20"/>
              </w:rPr>
              <w:t>Regulacions legals estatals per restringir o limitar l’ús d’antibiòtics</w:t>
            </w:r>
          </w:p>
          <w:p w:rsidR="00C32830" w:rsidRDefault="00C32830" w:rsidP="00C32830">
            <w:pPr>
              <w:jc w:val="both"/>
              <w:rPr>
                <w:rFonts w:ascii="Arial" w:hAnsi="Arial" w:cs="Arial"/>
                <w:color w:val="000361"/>
                <w:sz w:val="20"/>
                <w:szCs w:val="20"/>
              </w:rPr>
            </w:pPr>
          </w:p>
          <w:p w:rsidR="00C32830" w:rsidRPr="00C32830" w:rsidRDefault="001D6BE4" w:rsidP="00C32830">
            <w:pPr>
              <w:pStyle w:val="Prrafodelista"/>
              <w:numPr>
                <w:ilvl w:val="0"/>
                <w:numId w:val="30"/>
              </w:numPr>
              <w:jc w:val="both"/>
              <w:rPr>
                <w:rFonts w:ascii="Arial" w:hAnsi="Arial" w:cs="Arial"/>
                <w:color w:val="000361"/>
                <w:sz w:val="20"/>
                <w:szCs w:val="20"/>
              </w:rPr>
            </w:pPr>
            <w:r>
              <w:rPr>
                <w:rFonts w:ascii="Arial" w:hAnsi="Arial" w:cs="Arial"/>
                <w:color w:val="000361"/>
                <w:sz w:val="20"/>
                <w:szCs w:val="20"/>
              </w:rPr>
              <w:t>R</w:t>
            </w:r>
            <w:r w:rsidR="00C32830">
              <w:rPr>
                <w:rFonts w:ascii="Arial" w:hAnsi="Arial" w:cs="Arial"/>
                <w:color w:val="000361"/>
                <w:sz w:val="20"/>
                <w:szCs w:val="20"/>
              </w:rPr>
              <w:t>equeriments exigits per les agències dels medicaments abans no són aprovats per la seva comercialització.</w:t>
            </w:r>
          </w:p>
        </w:tc>
      </w:tr>
    </w:tbl>
    <w:p w:rsidR="009046B2" w:rsidRPr="00F87F4B" w:rsidRDefault="00F87F4B" w:rsidP="00F87F4B">
      <w:pPr>
        <w:rPr>
          <w:rFonts w:ascii="Arial" w:hAnsi="Arial" w:cs="Arial"/>
          <w:b/>
          <w:color w:val="000361"/>
          <w:sz w:val="20"/>
          <w:szCs w:val="20"/>
        </w:rPr>
      </w:pPr>
      <w:r>
        <w:rPr>
          <w:rFonts w:ascii="Arial" w:hAnsi="Arial" w:cs="Arial"/>
          <w:color w:val="002060"/>
          <w:sz w:val="14"/>
          <w:szCs w:val="14"/>
        </w:rPr>
        <w:t>Font: Elaboració pròpia</w:t>
      </w:r>
      <w:r w:rsidR="009046B2">
        <w:rPr>
          <w:rFonts w:ascii="Arial" w:hAnsi="Arial" w:cs="Arial"/>
          <w:b/>
          <w:color w:val="000361"/>
        </w:rPr>
        <w:br w:type="page"/>
      </w:r>
    </w:p>
    <w:p w:rsidR="00B80FAD" w:rsidRPr="00B80FAD" w:rsidRDefault="00B80FAD" w:rsidP="00B80FAD">
      <w:pPr>
        <w:jc w:val="both"/>
        <w:rPr>
          <w:rFonts w:ascii="Arial" w:hAnsi="Arial" w:cs="Arial"/>
          <w:b/>
          <w:color w:val="000361"/>
        </w:rPr>
      </w:pPr>
      <w:r w:rsidRPr="00B80FAD">
        <w:rPr>
          <w:rFonts w:ascii="Arial" w:hAnsi="Arial" w:cs="Arial"/>
          <w:b/>
          <w:color w:val="000361"/>
        </w:rPr>
        <w:lastRenderedPageBreak/>
        <w:t>4.</w:t>
      </w:r>
      <w:r>
        <w:rPr>
          <w:rFonts w:ascii="Arial" w:hAnsi="Arial" w:cs="Arial"/>
          <w:b/>
          <w:color w:val="000361"/>
        </w:rPr>
        <w:t xml:space="preserve"> </w:t>
      </w:r>
      <w:r w:rsidRPr="00B80FAD">
        <w:rPr>
          <w:rFonts w:ascii="Arial" w:hAnsi="Arial" w:cs="Arial"/>
          <w:b/>
          <w:color w:val="000361"/>
        </w:rPr>
        <w:t>IMPLICACIONS ÈTIQUES I SOCIALS DE LABORATORIS HIPRA S.A.</w:t>
      </w:r>
    </w:p>
    <w:p w:rsidR="00B80FAD" w:rsidRDefault="00B80FAD" w:rsidP="0036376F">
      <w:pPr>
        <w:jc w:val="both"/>
        <w:rPr>
          <w:rFonts w:ascii="Arial" w:hAnsi="Arial" w:cs="Arial"/>
          <w:b/>
          <w:color w:val="000361"/>
        </w:rPr>
      </w:pPr>
    </w:p>
    <w:p w:rsidR="00B80FAD" w:rsidRDefault="004F66FD" w:rsidP="0036376F">
      <w:pPr>
        <w:jc w:val="both"/>
        <w:rPr>
          <w:rFonts w:ascii="Arial" w:hAnsi="Arial" w:cs="Arial"/>
          <w:color w:val="000361"/>
          <w:sz w:val="20"/>
          <w:szCs w:val="20"/>
        </w:rPr>
      </w:pPr>
      <w:r w:rsidRPr="004F66FD">
        <w:rPr>
          <w:rFonts w:ascii="Arial" w:hAnsi="Arial" w:cs="Arial"/>
          <w:color w:val="000361"/>
          <w:sz w:val="20"/>
          <w:szCs w:val="20"/>
        </w:rPr>
        <w:t xml:space="preserve">Laboratoris Hipra </w:t>
      </w:r>
      <w:r>
        <w:rPr>
          <w:rFonts w:ascii="Arial" w:hAnsi="Arial" w:cs="Arial"/>
          <w:color w:val="000361"/>
          <w:sz w:val="20"/>
          <w:szCs w:val="20"/>
        </w:rPr>
        <w:t>adquireix una sèrie de compromisos ètics, socials i mediambientals en el desenvolupament de la seva activitat</w:t>
      </w:r>
      <w:r w:rsidR="00FE73CA">
        <w:rPr>
          <w:rFonts w:ascii="Arial" w:hAnsi="Arial" w:cs="Arial"/>
          <w:color w:val="000361"/>
          <w:sz w:val="20"/>
          <w:szCs w:val="20"/>
        </w:rPr>
        <w:t xml:space="preserve"> que es concreten a l’informe “Estats d’informació no financers” </w:t>
      </w:r>
      <w:r w:rsidR="006012D2">
        <w:rPr>
          <w:rFonts w:ascii="Arial" w:hAnsi="Arial" w:cs="Arial"/>
          <w:color w:val="000361"/>
          <w:sz w:val="20"/>
          <w:szCs w:val="20"/>
        </w:rPr>
        <w:t>accessible</w:t>
      </w:r>
      <w:r w:rsidR="00FE73CA">
        <w:rPr>
          <w:rFonts w:ascii="Arial" w:hAnsi="Arial" w:cs="Arial"/>
          <w:color w:val="000361"/>
          <w:sz w:val="20"/>
          <w:szCs w:val="20"/>
        </w:rPr>
        <w:t xml:space="preserve"> a través de la pàgina web de l’empresa</w:t>
      </w:r>
      <w:r>
        <w:rPr>
          <w:rFonts w:ascii="Arial" w:hAnsi="Arial" w:cs="Arial"/>
          <w:color w:val="000361"/>
          <w:sz w:val="20"/>
          <w:szCs w:val="20"/>
        </w:rPr>
        <w:t>.</w:t>
      </w:r>
    </w:p>
    <w:p w:rsidR="004F66FD" w:rsidRDefault="004F66FD" w:rsidP="0036376F">
      <w:pPr>
        <w:jc w:val="both"/>
        <w:rPr>
          <w:rFonts w:ascii="Arial" w:hAnsi="Arial" w:cs="Arial"/>
          <w:color w:val="000361"/>
          <w:sz w:val="20"/>
          <w:szCs w:val="20"/>
        </w:rPr>
      </w:pPr>
    </w:p>
    <w:p w:rsidR="00FE73CA" w:rsidRDefault="004F66FD" w:rsidP="00FE73CA">
      <w:pPr>
        <w:jc w:val="both"/>
        <w:rPr>
          <w:rFonts w:ascii="Arial" w:hAnsi="Arial" w:cs="Arial"/>
          <w:color w:val="000361"/>
          <w:sz w:val="20"/>
          <w:szCs w:val="20"/>
        </w:rPr>
      </w:pPr>
      <w:r>
        <w:rPr>
          <w:rFonts w:ascii="Arial" w:hAnsi="Arial" w:cs="Arial"/>
          <w:color w:val="000361"/>
          <w:sz w:val="20"/>
          <w:szCs w:val="20"/>
        </w:rPr>
        <w:t xml:space="preserve">En referència als aspectes mediambientals, l’empresa estableix polítiques de millora continua i sostenibilitat amb el compromís de minimitzar els impactes amb l’entorn que es deriven del seu creixement. El seu pla d’acció es </w:t>
      </w:r>
      <w:r w:rsidR="00FE73CA">
        <w:rPr>
          <w:rFonts w:ascii="Arial" w:hAnsi="Arial" w:cs="Arial"/>
          <w:color w:val="000361"/>
          <w:sz w:val="20"/>
          <w:szCs w:val="20"/>
        </w:rPr>
        <w:t>es focalitza</w:t>
      </w:r>
      <w:r>
        <w:rPr>
          <w:rFonts w:ascii="Arial" w:hAnsi="Arial" w:cs="Arial"/>
          <w:color w:val="000361"/>
          <w:sz w:val="20"/>
          <w:szCs w:val="20"/>
        </w:rPr>
        <w:t xml:space="preserve"> en </w:t>
      </w:r>
      <w:r w:rsidR="006012D2">
        <w:rPr>
          <w:rFonts w:ascii="Arial" w:hAnsi="Arial" w:cs="Arial"/>
          <w:color w:val="000361"/>
          <w:sz w:val="20"/>
          <w:szCs w:val="20"/>
        </w:rPr>
        <w:t>disminuir</w:t>
      </w:r>
      <w:r>
        <w:rPr>
          <w:rFonts w:ascii="Arial" w:hAnsi="Arial" w:cs="Arial"/>
          <w:color w:val="000361"/>
          <w:sz w:val="20"/>
          <w:szCs w:val="20"/>
        </w:rPr>
        <w:t xml:space="preserve"> </w:t>
      </w:r>
      <w:r w:rsidR="00FE73CA">
        <w:rPr>
          <w:rFonts w:ascii="Arial" w:hAnsi="Arial" w:cs="Arial"/>
          <w:color w:val="000361"/>
          <w:sz w:val="20"/>
          <w:szCs w:val="20"/>
        </w:rPr>
        <w:t xml:space="preserve">els </w:t>
      </w:r>
      <w:r>
        <w:rPr>
          <w:rFonts w:ascii="Arial" w:hAnsi="Arial" w:cs="Arial"/>
          <w:color w:val="000361"/>
          <w:sz w:val="20"/>
          <w:szCs w:val="20"/>
        </w:rPr>
        <w:t>efectes negatius</w:t>
      </w:r>
      <w:r w:rsidR="00FE73CA">
        <w:rPr>
          <w:rFonts w:ascii="Arial" w:hAnsi="Arial" w:cs="Arial"/>
          <w:color w:val="000361"/>
          <w:sz w:val="20"/>
          <w:szCs w:val="20"/>
        </w:rPr>
        <w:t xml:space="preserve"> relacionats amb el</w:t>
      </w:r>
      <w:r>
        <w:rPr>
          <w:rFonts w:ascii="Arial" w:hAnsi="Arial" w:cs="Arial"/>
          <w:color w:val="000361"/>
          <w:sz w:val="20"/>
          <w:szCs w:val="20"/>
        </w:rPr>
        <w:t xml:space="preserve"> consum de recursos energètics i de matèries primeres</w:t>
      </w:r>
      <w:r w:rsidR="00FE73CA">
        <w:rPr>
          <w:rFonts w:ascii="Arial" w:hAnsi="Arial" w:cs="Arial"/>
          <w:color w:val="000361"/>
          <w:sz w:val="20"/>
          <w:szCs w:val="20"/>
        </w:rPr>
        <w:t xml:space="preserve">, i </w:t>
      </w:r>
      <w:r>
        <w:rPr>
          <w:rFonts w:ascii="Arial" w:hAnsi="Arial" w:cs="Arial"/>
          <w:color w:val="000361"/>
          <w:sz w:val="20"/>
          <w:szCs w:val="20"/>
        </w:rPr>
        <w:t xml:space="preserve">la generació </w:t>
      </w:r>
      <w:r w:rsidR="00FE73CA">
        <w:rPr>
          <w:rFonts w:ascii="Arial" w:hAnsi="Arial" w:cs="Arial"/>
          <w:color w:val="000361"/>
          <w:sz w:val="20"/>
          <w:szCs w:val="20"/>
        </w:rPr>
        <w:t>residus</w:t>
      </w:r>
      <w:r>
        <w:rPr>
          <w:rFonts w:ascii="Arial" w:hAnsi="Arial" w:cs="Arial"/>
          <w:color w:val="000361"/>
          <w:sz w:val="20"/>
          <w:szCs w:val="20"/>
        </w:rPr>
        <w:t xml:space="preserve"> i emissió de gasos</w:t>
      </w:r>
      <w:r w:rsidR="00FE73CA">
        <w:rPr>
          <w:rFonts w:ascii="Arial" w:hAnsi="Arial" w:cs="Arial"/>
          <w:color w:val="000361"/>
          <w:sz w:val="20"/>
          <w:szCs w:val="20"/>
        </w:rPr>
        <w:t>. Algunes de les actuacions més rellevants previstes per l’empresa que s’emmarquen en aquest pla d’acció són:</w:t>
      </w:r>
    </w:p>
    <w:p w:rsidR="004F66FD" w:rsidRDefault="00FE73CA" w:rsidP="00FE73CA">
      <w:pPr>
        <w:jc w:val="both"/>
        <w:rPr>
          <w:rFonts w:ascii="Arial" w:hAnsi="Arial" w:cs="Arial"/>
          <w:color w:val="000361"/>
          <w:sz w:val="20"/>
          <w:szCs w:val="20"/>
        </w:rPr>
      </w:pPr>
      <w:r>
        <w:rPr>
          <w:rFonts w:ascii="Arial" w:hAnsi="Arial" w:cs="Arial"/>
          <w:color w:val="000361"/>
          <w:sz w:val="20"/>
          <w:szCs w:val="20"/>
        </w:rPr>
        <w:t>- Consum d’energia elèctrica 100% d’origen renovable. El seu consum creix per donar servei a noves instal·lacions.</w:t>
      </w:r>
      <w:r w:rsidR="004F66FD">
        <w:rPr>
          <w:rFonts w:ascii="Arial" w:hAnsi="Arial" w:cs="Arial"/>
          <w:color w:val="000361"/>
          <w:sz w:val="20"/>
          <w:szCs w:val="20"/>
        </w:rPr>
        <w:t xml:space="preserve"> </w:t>
      </w:r>
    </w:p>
    <w:p w:rsidR="00FE73CA" w:rsidRDefault="00FE73CA" w:rsidP="00FE73CA">
      <w:pPr>
        <w:jc w:val="both"/>
        <w:rPr>
          <w:rFonts w:ascii="Arial" w:hAnsi="Arial" w:cs="Arial"/>
          <w:color w:val="000361"/>
          <w:sz w:val="20"/>
          <w:szCs w:val="20"/>
        </w:rPr>
      </w:pPr>
      <w:r>
        <w:rPr>
          <w:rFonts w:ascii="Arial" w:hAnsi="Arial" w:cs="Arial"/>
          <w:color w:val="000361"/>
          <w:sz w:val="20"/>
          <w:szCs w:val="20"/>
        </w:rPr>
        <w:t>- El consum de gas natural  augmenta per les necessitats productives i en substitució del gasoil.</w:t>
      </w:r>
    </w:p>
    <w:p w:rsidR="00FE73CA" w:rsidRDefault="00FE73CA" w:rsidP="00FE73CA">
      <w:pPr>
        <w:jc w:val="both"/>
        <w:rPr>
          <w:rFonts w:ascii="Arial" w:hAnsi="Arial" w:cs="Arial"/>
          <w:color w:val="000361"/>
          <w:sz w:val="20"/>
          <w:szCs w:val="20"/>
        </w:rPr>
      </w:pPr>
      <w:r>
        <w:rPr>
          <w:rFonts w:ascii="Arial" w:hAnsi="Arial" w:cs="Arial"/>
          <w:color w:val="000361"/>
          <w:sz w:val="20"/>
          <w:szCs w:val="20"/>
        </w:rPr>
        <w:t>- Millora en la segregació i reciclatge de residus, i minimitzar-ne la seva generació</w:t>
      </w:r>
    </w:p>
    <w:p w:rsidR="00FE73CA" w:rsidRPr="004F66FD" w:rsidRDefault="00FE73CA" w:rsidP="00FE73CA">
      <w:pPr>
        <w:jc w:val="both"/>
        <w:rPr>
          <w:rFonts w:ascii="Arial" w:hAnsi="Arial" w:cs="Arial"/>
          <w:color w:val="000361"/>
          <w:sz w:val="20"/>
          <w:szCs w:val="20"/>
        </w:rPr>
      </w:pPr>
      <w:r>
        <w:rPr>
          <w:rFonts w:ascii="Arial" w:hAnsi="Arial" w:cs="Arial"/>
          <w:color w:val="000361"/>
          <w:sz w:val="20"/>
          <w:szCs w:val="20"/>
        </w:rPr>
        <w:t xml:space="preserve">- Inversions destinades a </w:t>
      </w:r>
      <w:r w:rsidR="006012D2">
        <w:rPr>
          <w:rFonts w:ascii="Arial" w:hAnsi="Arial" w:cs="Arial"/>
          <w:color w:val="000361"/>
          <w:sz w:val="20"/>
          <w:szCs w:val="20"/>
        </w:rPr>
        <w:t>reduir</w:t>
      </w:r>
      <w:r>
        <w:rPr>
          <w:rFonts w:ascii="Arial" w:hAnsi="Arial" w:cs="Arial"/>
          <w:color w:val="000361"/>
          <w:sz w:val="20"/>
          <w:szCs w:val="20"/>
        </w:rPr>
        <w:t xml:space="preserve"> el consum d’aigua en els seus processos, la seva re-utilització i el tractament i depuració de les aigües residuals.</w:t>
      </w:r>
    </w:p>
    <w:p w:rsidR="00FE73CA" w:rsidRDefault="00FE73CA" w:rsidP="0036376F">
      <w:pPr>
        <w:jc w:val="both"/>
        <w:rPr>
          <w:rFonts w:ascii="Arial" w:hAnsi="Arial" w:cs="Arial"/>
          <w:b/>
          <w:color w:val="000361"/>
        </w:rPr>
      </w:pPr>
    </w:p>
    <w:p w:rsidR="00FE73CA" w:rsidRDefault="00FE73CA" w:rsidP="0036376F">
      <w:pPr>
        <w:jc w:val="both"/>
        <w:rPr>
          <w:rFonts w:ascii="Arial" w:hAnsi="Arial" w:cs="Arial"/>
          <w:color w:val="000361"/>
          <w:sz w:val="20"/>
          <w:szCs w:val="20"/>
        </w:rPr>
      </w:pPr>
      <w:r>
        <w:rPr>
          <w:rFonts w:ascii="Arial" w:hAnsi="Arial" w:cs="Arial"/>
          <w:color w:val="000361"/>
          <w:sz w:val="20"/>
          <w:szCs w:val="20"/>
        </w:rPr>
        <w:t xml:space="preserve">Laboratoris Hipra actua respectant els Drets Humans i les lleis, normes i regulacions establertes en </w:t>
      </w:r>
      <w:r w:rsidR="006012D2">
        <w:rPr>
          <w:rFonts w:ascii="Arial" w:hAnsi="Arial" w:cs="Arial"/>
          <w:color w:val="000361"/>
          <w:sz w:val="20"/>
          <w:szCs w:val="20"/>
        </w:rPr>
        <w:t>cadascun</w:t>
      </w:r>
      <w:r>
        <w:rPr>
          <w:rFonts w:ascii="Arial" w:hAnsi="Arial" w:cs="Arial"/>
          <w:color w:val="000361"/>
          <w:sz w:val="20"/>
          <w:szCs w:val="20"/>
        </w:rPr>
        <w:t xml:space="preserve"> dels països on hi és present. A més, disposa d’un codi de conducta que estableix la normativa interna de comportaments ètics i de tracte no discriminatori d’obligat compliment pels membres de l’organització. El codi de conducte posa èmfasi en la honestedat, ètica, transparència i objectivitat per evitar determinades conductes relacionades amb la corrupció i el </w:t>
      </w:r>
      <w:r w:rsidR="006012D2">
        <w:rPr>
          <w:rFonts w:ascii="Arial" w:hAnsi="Arial" w:cs="Arial"/>
          <w:color w:val="000361"/>
          <w:sz w:val="20"/>
          <w:szCs w:val="20"/>
        </w:rPr>
        <w:t>suborn</w:t>
      </w:r>
      <w:r>
        <w:rPr>
          <w:rFonts w:ascii="Arial" w:hAnsi="Arial" w:cs="Arial"/>
          <w:color w:val="000361"/>
          <w:sz w:val="20"/>
          <w:szCs w:val="20"/>
        </w:rPr>
        <w:t>, en la lluita contra el frau i blanqueig de capital</w:t>
      </w:r>
      <w:r w:rsidR="00C50654">
        <w:rPr>
          <w:rFonts w:ascii="Arial" w:hAnsi="Arial" w:cs="Arial"/>
          <w:color w:val="000361"/>
          <w:sz w:val="20"/>
          <w:szCs w:val="20"/>
        </w:rPr>
        <w:t xml:space="preserve">s. Hipra atén impecablement a les seves obligacions fiscals i no eludeix aquesta responsabilitat  per mitjà de la opacitat en la informació, ni sent present a països considerats </w:t>
      </w:r>
      <w:r w:rsidR="006012D2">
        <w:rPr>
          <w:rFonts w:ascii="Arial" w:hAnsi="Arial" w:cs="Arial"/>
          <w:color w:val="000361"/>
          <w:sz w:val="20"/>
          <w:szCs w:val="20"/>
        </w:rPr>
        <w:t>paradisos</w:t>
      </w:r>
      <w:r w:rsidR="00C50654">
        <w:rPr>
          <w:rFonts w:ascii="Arial" w:hAnsi="Arial" w:cs="Arial"/>
          <w:color w:val="000361"/>
          <w:sz w:val="20"/>
          <w:szCs w:val="20"/>
        </w:rPr>
        <w:t xml:space="preserve"> fiscals.  </w:t>
      </w:r>
    </w:p>
    <w:p w:rsidR="00FE73CA" w:rsidRDefault="00FE73CA" w:rsidP="0036376F">
      <w:pPr>
        <w:jc w:val="both"/>
        <w:rPr>
          <w:rFonts w:ascii="Arial" w:hAnsi="Arial" w:cs="Arial"/>
          <w:b/>
          <w:color w:val="000361"/>
        </w:rPr>
      </w:pPr>
    </w:p>
    <w:p w:rsidR="00FE73CA" w:rsidRDefault="00FE73CA" w:rsidP="0036376F">
      <w:pPr>
        <w:jc w:val="both"/>
        <w:rPr>
          <w:rFonts w:ascii="Arial" w:hAnsi="Arial" w:cs="Arial"/>
          <w:color w:val="000361"/>
          <w:sz w:val="20"/>
          <w:szCs w:val="20"/>
        </w:rPr>
      </w:pPr>
      <w:r>
        <w:rPr>
          <w:rFonts w:ascii="Arial" w:hAnsi="Arial" w:cs="Arial"/>
          <w:color w:val="000361"/>
          <w:sz w:val="20"/>
          <w:szCs w:val="20"/>
        </w:rPr>
        <w:t xml:space="preserve">En termes de responsabilitat social, l’activitat de l’empresa està orientada a la millora de la Salut Animal aportant solució a malalties que no tenien tractament per mitjà de la investigació i el desenvolupament de productes assumint el compromís de fer-ho de manera responsable, ètica, i assegurant uns alts nivells qualitat acreditats per les següents certificacions : GLP (Good Laboratory Practices), GMP (Good Manufacturing Practices), i ISO 14001 (certificació en bones pràctiques mediambientals). Les proves </w:t>
      </w:r>
      <w:r w:rsidR="00C50654">
        <w:rPr>
          <w:rFonts w:ascii="Arial" w:hAnsi="Arial" w:cs="Arial"/>
          <w:color w:val="000361"/>
          <w:sz w:val="20"/>
          <w:szCs w:val="20"/>
        </w:rPr>
        <w:t>biològiques estan sota control de la Comissió Nacional de Bioseguretat i l’experimentació animal segons criteris marcats per la Directiva Europea 2010/63 i prioritzant el seu benestar, i es fa un seguiment i control sobre la seguretat i eficàcia dels productes que Hipra comercialitza.</w:t>
      </w:r>
    </w:p>
    <w:p w:rsidR="00C50654" w:rsidRDefault="00C50654" w:rsidP="0036376F">
      <w:pPr>
        <w:jc w:val="both"/>
        <w:rPr>
          <w:rFonts w:ascii="Arial" w:hAnsi="Arial" w:cs="Arial"/>
          <w:color w:val="000361"/>
          <w:sz w:val="20"/>
          <w:szCs w:val="20"/>
        </w:rPr>
      </w:pPr>
    </w:p>
    <w:p w:rsidR="00C50654" w:rsidRDefault="00C50654" w:rsidP="0036376F">
      <w:pPr>
        <w:jc w:val="both"/>
        <w:rPr>
          <w:rFonts w:ascii="Arial" w:hAnsi="Arial" w:cs="Arial"/>
          <w:color w:val="000361"/>
          <w:sz w:val="20"/>
          <w:szCs w:val="20"/>
        </w:rPr>
      </w:pPr>
      <w:r>
        <w:rPr>
          <w:rFonts w:ascii="Arial" w:hAnsi="Arial" w:cs="Arial"/>
          <w:color w:val="000361"/>
          <w:sz w:val="20"/>
          <w:szCs w:val="20"/>
        </w:rPr>
        <w:t>L’evolució de l’empresa en termes de paritat millora respecte anys anteriors. Actualment hi ha un 48% de dones per un 52% d’homes. Laboralment l’empresa estableix plans de desenvolupament professional i s’estan duent a terme mesures de flexibilització per a una millor conciliació familiar i altres avantatges tals com aportacions a plans de pensions.</w:t>
      </w:r>
    </w:p>
    <w:p w:rsidR="00C50654" w:rsidRDefault="00C50654" w:rsidP="0036376F">
      <w:pPr>
        <w:jc w:val="both"/>
        <w:rPr>
          <w:rFonts w:ascii="Arial" w:hAnsi="Arial" w:cs="Arial"/>
          <w:color w:val="000361"/>
          <w:sz w:val="20"/>
          <w:szCs w:val="20"/>
        </w:rPr>
      </w:pPr>
    </w:p>
    <w:p w:rsidR="00FE73CA" w:rsidRDefault="00C50654" w:rsidP="0036376F">
      <w:pPr>
        <w:jc w:val="both"/>
        <w:rPr>
          <w:rFonts w:ascii="Arial" w:hAnsi="Arial" w:cs="Arial"/>
          <w:b/>
          <w:color w:val="000361"/>
        </w:rPr>
      </w:pPr>
      <w:r>
        <w:rPr>
          <w:rFonts w:ascii="Arial" w:hAnsi="Arial" w:cs="Arial"/>
          <w:color w:val="000361"/>
          <w:sz w:val="20"/>
          <w:szCs w:val="20"/>
        </w:rPr>
        <w:t>Amb l’arribada COVID-19 l’empresa s’ha involucrat amb la societat posant els seus recursos per afrontar la delicada situació inicial. Ha estat participant de l’elaboració de components necessaris pels equips de respiració artificial dels Hospitals i en l’anàlisi de proves de detecció del virus. Actualment també n’està desenvolupant un vaccí.</w:t>
      </w:r>
    </w:p>
    <w:p w:rsidR="00B80FAD" w:rsidRDefault="00B80FAD" w:rsidP="0036376F">
      <w:pPr>
        <w:jc w:val="both"/>
        <w:rPr>
          <w:rFonts w:ascii="Arial" w:hAnsi="Arial" w:cs="Arial"/>
          <w:b/>
          <w:color w:val="000361"/>
        </w:rPr>
      </w:pPr>
      <w:r>
        <w:rPr>
          <w:rFonts w:ascii="Arial" w:hAnsi="Arial" w:cs="Arial"/>
          <w:b/>
          <w:color w:val="000361"/>
        </w:rPr>
        <w:br w:type="page"/>
      </w:r>
    </w:p>
    <w:p w:rsidR="00AB387A" w:rsidRPr="00BE2EBE" w:rsidRDefault="00BE2EBE" w:rsidP="00BE2EBE">
      <w:pPr>
        <w:jc w:val="both"/>
        <w:rPr>
          <w:rFonts w:ascii="Arial" w:hAnsi="Arial" w:cs="Arial"/>
          <w:b/>
          <w:color w:val="000361"/>
        </w:rPr>
      </w:pPr>
      <w:r w:rsidRPr="00BE2EBE">
        <w:rPr>
          <w:rFonts w:ascii="Arial" w:hAnsi="Arial" w:cs="Arial"/>
          <w:b/>
          <w:color w:val="000361"/>
        </w:rPr>
        <w:lastRenderedPageBreak/>
        <w:t>5.</w:t>
      </w:r>
      <w:r>
        <w:rPr>
          <w:rFonts w:ascii="Arial" w:hAnsi="Arial" w:cs="Arial"/>
          <w:b/>
          <w:color w:val="000361"/>
        </w:rPr>
        <w:t xml:space="preserve"> </w:t>
      </w:r>
      <w:r w:rsidR="0036376F" w:rsidRPr="00BE2EBE">
        <w:rPr>
          <w:rFonts w:ascii="Arial" w:hAnsi="Arial" w:cs="Arial"/>
          <w:b/>
          <w:color w:val="000361"/>
        </w:rPr>
        <w:t>CONCLUSIONS</w:t>
      </w:r>
      <w:r w:rsidR="00B80FAD" w:rsidRPr="00BE2EBE">
        <w:rPr>
          <w:rFonts w:ascii="Arial" w:hAnsi="Arial" w:cs="Arial"/>
          <w:b/>
          <w:color w:val="000361"/>
        </w:rPr>
        <w:t xml:space="preserve"> I FUTURES RECOMANACIONS</w:t>
      </w:r>
    </w:p>
    <w:p w:rsidR="0036376F" w:rsidRPr="0036376F" w:rsidRDefault="0036376F" w:rsidP="0036376F">
      <w:pPr>
        <w:rPr>
          <w:rFonts w:ascii="Arial" w:hAnsi="Arial" w:cs="Arial"/>
        </w:rPr>
      </w:pPr>
    </w:p>
    <w:p w:rsidR="0036376F" w:rsidRDefault="0036376F" w:rsidP="0036376F">
      <w:pPr>
        <w:jc w:val="both"/>
        <w:rPr>
          <w:rFonts w:ascii="Arial" w:hAnsi="Arial" w:cs="Arial"/>
          <w:color w:val="002060"/>
          <w:sz w:val="20"/>
          <w:szCs w:val="20"/>
        </w:rPr>
      </w:pPr>
      <w:r>
        <w:rPr>
          <w:rFonts w:ascii="Arial" w:hAnsi="Arial" w:cs="Arial"/>
          <w:color w:val="002060"/>
          <w:sz w:val="20"/>
          <w:szCs w:val="20"/>
        </w:rPr>
        <w:t>“Quina estratègia ha seguit Laboratoris Hipra per esdevenir una empresa rellevant en el seu sector?”, aquesta és la pregunta que centra l’interès del projecte i per la qual es dóna resposta per mitjà de l’anàlisi estratègic de l’empresa</w:t>
      </w:r>
      <w:r w:rsidR="002C11BF">
        <w:rPr>
          <w:rFonts w:ascii="Arial" w:hAnsi="Arial" w:cs="Arial"/>
          <w:color w:val="002060"/>
          <w:sz w:val="20"/>
          <w:szCs w:val="20"/>
        </w:rPr>
        <w:t>,</w:t>
      </w:r>
      <w:r w:rsidR="000468A0">
        <w:rPr>
          <w:rFonts w:ascii="Arial" w:hAnsi="Arial" w:cs="Arial"/>
          <w:color w:val="002060"/>
          <w:sz w:val="20"/>
          <w:szCs w:val="20"/>
        </w:rPr>
        <w:t xml:space="preserve"> la seva situació </w:t>
      </w:r>
      <w:r>
        <w:rPr>
          <w:rFonts w:ascii="Arial" w:hAnsi="Arial" w:cs="Arial"/>
          <w:color w:val="002060"/>
          <w:sz w:val="20"/>
          <w:szCs w:val="20"/>
        </w:rPr>
        <w:t>econòmic</w:t>
      </w:r>
      <w:r w:rsidR="000468A0">
        <w:rPr>
          <w:rFonts w:ascii="Arial" w:hAnsi="Arial" w:cs="Arial"/>
          <w:color w:val="002060"/>
          <w:sz w:val="20"/>
          <w:szCs w:val="20"/>
        </w:rPr>
        <w:t>a</w:t>
      </w:r>
      <w:r>
        <w:rPr>
          <w:rFonts w:ascii="Arial" w:hAnsi="Arial" w:cs="Arial"/>
          <w:color w:val="002060"/>
          <w:sz w:val="20"/>
          <w:szCs w:val="20"/>
        </w:rPr>
        <w:t xml:space="preserve"> i financer</w:t>
      </w:r>
      <w:r w:rsidR="000468A0">
        <w:rPr>
          <w:rFonts w:ascii="Arial" w:hAnsi="Arial" w:cs="Arial"/>
          <w:color w:val="002060"/>
          <w:sz w:val="20"/>
          <w:szCs w:val="20"/>
        </w:rPr>
        <w:t>a</w:t>
      </w:r>
      <w:r w:rsidR="002C11BF">
        <w:rPr>
          <w:rFonts w:ascii="Arial" w:hAnsi="Arial" w:cs="Arial"/>
          <w:color w:val="002060"/>
          <w:sz w:val="20"/>
          <w:szCs w:val="20"/>
        </w:rPr>
        <w:t>, i l’entorn</w:t>
      </w:r>
      <w:r>
        <w:rPr>
          <w:rFonts w:ascii="Arial" w:hAnsi="Arial" w:cs="Arial"/>
          <w:color w:val="002060"/>
          <w:sz w:val="20"/>
          <w:szCs w:val="20"/>
        </w:rPr>
        <w:t>.</w:t>
      </w:r>
    </w:p>
    <w:p w:rsidR="0036376F" w:rsidRDefault="0036376F" w:rsidP="0036376F">
      <w:pPr>
        <w:jc w:val="both"/>
        <w:rPr>
          <w:rFonts w:ascii="Arial" w:hAnsi="Arial" w:cs="Arial"/>
          <w:color w:val="002060"/>
          <w:sz w:val="20"/>
          <w:szCs w:val="20"/>
        </w:rPr>
      </w:pPr>
    </w:p>
    <w:p w:rsidR="0036376F" w:rsidRPr="0036376F" w:rsidRDefault="0036376F" w:rsidP="0036376F">
      <w:pPr>
        <w:jc w:val="both"/>
        <w:rPr>
          <w:rFonts w:ascii="Arial" w:hAnsi="Arial" w:cs="Arial"/>
          <w:color w:val="002060"/>
          <w:sz w:val="20"/>
          <w:szCs w:val="20"/>
        </w:rPr>
      </w:pPr>
      <w:r w:rsidRPr="0036376F">
        <w:rPr>
          <w:rFonts w:ascii="Arial" w:hAnsi="Arial" w:cs="Arial"/>
          <w:color w:val="002060"/>
          <w:sz w:val="20"/>
          <w:szCs w:val="20"/>
        </w:rPr>
        <w:t xml:space="preserve">Per explicar la situació actual de Laboratoris Hipra cal remuntar-nos a l’estratègia impulsada l’any 2008 amb una reorientació del seu negoci cap a una major especialització acompanyada del procés d’expansió internacional iniciat prèviament. Aquesta estratègia implica el progressiu abandonament d’una part del negoci relacionada principalment amb els antibiòtics i concentrant-se en la innovació i recerca de vacunes animals. D’ençà, </w:t>
      </w:r>
      <w:r>
        <w:rPr>
          <w:rFonts w:ascii="Arial" w:hAnsi="Arial" w:cs="Arial"/>
          <w:color w:val="002060"/>
          <w:sz w:val="20"/>
          <w:szCs w:val="20"/>
        </w:rPr>
        <w:t xml:space="preserve">el </w:t>
      </w:r>
      <w:r w:rsidRPr="0036376F">
        <w:rPr>
          <w:rFonts w:ascii="Arial" w:hAnsi="Arial" w:cs="Arial"/>
          <w:color w:val="002060"/>
          <w:sz w:val="20"/>
          <w:szCs w:val="20"/>
        </w:rPr>
        <w:t>volum de negoci ha anat en augment d’una manera con</w:t>
      </w:r>
      <w:r>
        <w:rPr>
          <w:rFonts w:ascii="Arial" w:hAnsi="Arial" w:cs="Arial"/>
          <w:color w:val="002060"/>
          <w:sz w:val="20"/>
          <w:szCs w:val="20"/>
        </w:rPr>
        <w:t>tinuada</w:t>
      </w:r>
      <w:r w:rsidRPr="0036376F">
        <w:rPr>
          <w:rFonts w:ascii="Arial" w:hAnsi="Arial" w:cs="Arial"/>
          <w:color w:val="002060"/>
          <w:sz w:val="20"/>
          <w:szCs w:val="20"/>
        </w:rPr>
        <w:t xml:space="preserve"> en el transcurs dels exercicis i també del període analitzat tal i com s’observa al següent gràfic.</w:t>
      </w:r>
    </w:p>
    <w:p w:rsidR="0036376F" w:rsidRPr="0036376F" w:rsidRDefault="0036376F" w:rsidP="0036376F">
      <w:pPr>
        <w:jc w:val="both"/>
        <w:rPr>
          <w:rFonts w:ascii="Arial" w:hAnsi="Arial" w:cs="Arial"/>
          <w:color w:val="002060"/>
          <w:sz w:val="20"/>
          <w:szCs w:val="20"/>
        </w:rPr>
      </w:pPr>
    </w:p>
    <w:p w:rsidR="0036376F" w:rsidRPr="0036376F" w:rsidRDefault="00F87F4B" w:rsidP="0036376F">
      <w:pPr>
        <w:jc w:val="both"/>
        <w:rPr>
          <w:rFonts w:ascii="Arial" w:hAnsi="Arial" w:cs="Arial"/>
          <w:color w:val="002060"/>
          <w:sz w:val="20"/>
          <w:szCs w:val="20"/>
        </w:rPr>
      </w:pPr>
      <w:r>
        <w:rPr>
          <w:rFonts w:ascii="Arial" w:hAnsi="Arial" w:cs="Arial"/>
          <w:color w:val="002060"/>
          <w:sz w:val="20"/>
          <w:szCs w:val="20"/>
        </w:rPr>
        <w:t>Gràfic 4.1 Evolució de les vendes de Laboratoris Hipra pels exercicis 2015-2019</w:t>
      </w:r>
    </w:p>
    <w:p w:rsidR="0036376F" w:rsidRPr="0036376F" w:rsidRDefault="0036376F" w:rsidP="0036376F">
      <w:pPr>
        <w:jc w:val="center"/>
        <w:rPr>
          <w:rFonts w:ascii="Arial" w:hAnsi="Arial" w:cs="Arial"/>
          <w:color w:val="002060"/>
          <w:sz w:val="20"/>
          <w:szCs w:val="20"/>
        </w:rPr>
      </w:pPr>
      <w:r w:rsidRPr="0036376F">
        <w:rPr>
          <w:rFonts w:ascii="Arial" w:hAnsi="Arial" w:cs="Arial"/>
          <w:noProof/>
          <w:color w:val="002060"/>
          <w:sz w:val="20"/>
          <w:szCs w:val="20"/>
        </w:rPr>
        <w:drawing>
          <wp:inline distT="0" distB="0" distL="0" distR="0">
            <wp:extent cx="5657437" cy="233870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aptura de pantalla 2021-05-09 a les 8.26.51.pn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5676151" cy="2346441"/>
                    </a:xfrm>
                    <a:prstGeom prst="rect">
                      <a:avLst/>
                    </a:prstGeom>
                  </pic:spPr>
                </pic:pic>
              </a:graphicData>
            </a:graphic>
          </wp:inline>
        </w:drawing>
      </w:r>
    </w:p>
    <w:p w:rsidR="0036376F" w:rsidRPr="00F87F4B" w:rsidRDefault="00F87F4B" w:rsidP="0036376F">
      <w:pPr>
        <w:jc w:val="both"/>
        <w:rPr>
          <w:rFonts w:ascii="Arial" w:hAnsi="Arial" w:cs="Arial"/>
          <w:color w:val="002060"/>
          <w:sz w:val="14"/>
          <w:szCs w:val="14"/>
        </w:rPr>
      </w:pPr>
      <w:r w:rsidRPr="00F87F4B">
        <w:rPr>
          <w:rFonts w:ascii="Arial" w:hAnsi="Arial" w:cs="Arial"/>
          <w:color w:val="002060"/>
          <w:sz w:val="14"/>
          <w:szCs w:val="14"/>
        </w:rPr>
        <w:t>Font:</w:t>
      </w:r>
      <w:r w:rsidR="00B80FAD" w:rsidRPr="00F87F4B">
        <w:rPr>
          <w:rFonts w:ascii="Arial" w:hAnsi="Arial" w:cs="Arial"/>
          <w:color w:val="002060"/>
          <w:sz w:val="14"/>
          <w:szCs w:val="14"/>
        </w:rPr>
        <w:t xml:space="preserve"> </w:t>
      </w:r>
      <w:r w:rsidRPr="00F87F4B">
        <w:rPr>
          <w:rFonts w:ascii="Arial" w:hAnsi="Arial" w:cs="Arial"/>
          <w:color w:val="002060"/>
          <w:sz w:val="14"/>
          <w:szCs w:val="14"/>
        </w:rPr>
        <w:t xml:space="preserve">gràfic </w:t>
      </w:r>
      <w:r w:rsidR="00B80FAD" w:rsidRPr="00F87F4B">
        <w:rPr>
          <w:rFonts w:ascii="Arial" w:hAnsi="Arial" w:cs="Arial"/>
          <w:color w:val="002060"/>
          <w:sz w:val="14"/>
          <w:szCs w:val="14"/>
        </w:rPr>
        <w:t>obtingu</w:t>
      </w:r>
      <w:r w:rsidRPr="00F87F4B">
        <w:rPr>
          <w:rFonts w:ascii="Arial" w:hAnsi="Arial" w:cs="Arial"/>
          <w:color w:val="002060"/>
          <w:sz w:val="14"/>
          <w:szCs w:val="14"/>
        </w:rPr>
        <w:t>t</w:t>
      </w:r>
      <w:r w:rsidR="00B80FAD" w:rsidRPr="00F87F4B">
        <w:rPr>
          <w:rFonts w:ascii="Arial" w:hAnsi="Arial" w:cs="Arial"/>
          <w:color w:val="002060"/>
          <w:sz w:val="14"/>
          <w:szCs w:val="14"/>
        </w:rPr>
        <w:t xml:space="preserve"> del SABI</w:t>
      </w:r>
    </w:p>
    <w:p w:rsidR="00B80FAD" w:rsidRPr="00B80FAD" w:rsidRDefault="00B80FAD" w:rsidP="0036376F">
      <w:pPr>
        <w:jc w:val="both"/>
        <w:rPr>
          <w:rFonts w:ascii="Arial" w:hAnsi="Arial" w:cs="Arial"/>
          <w:color w:val="002060"/>
          <w:sz w:val="16"/>
          <w:szCs w:val="16"/>
        </w:rPr>
      </w:pPr>
    </w:p>
    <w:p w:rsidR="0036376F" w:rsidRPr="0036376F" w:rsidRDefault="0036376F" w:rsidP="0036376F">
      <w:pPr>
        <w:jc w:val="both"/>
        <w:rPr>
          <w:rFonts w:ascii="Arial" w:hAnsi="Arial" w:cs="Arial"/>
          <w:color w:val="002060"/>
          <w:sz w:val="20"/>
          <w:szCs w:val="20"/>
        </w:rPr>
      </w:pPr>
      <w:r w:rsidRPr="0036376F">
        <w:rPr>
          <w:rFonts w:ascii="Arial" w:hAnsi="Arial" w:cs="Arial"/>
          <w:color w:val="002060"/>
          <w:sz w:val="20"/>
          <w:szCs w:val="20"/>
        </w:rPr>
        <w:t>Atenent al nivell d’assoliment de l’estratègia fixada per Hipra s’acompanyen les següents dades:</w:t>
      </w:r>
    </w:p>
    <w:p w:rsidR="0036376F" w:rsidRPr="0036376F" w:rsidRDefault="0036376F" w:rsidP="0036376F">
      <w:pPr>
        <w:jc w:val="both"/>
        <w:rPr>
          <w:rFonts w:ascii="Arial" w:hAnsi="Arial" w:cs="Arial"/>
          <w:color w:val="002060"/>
          <w:sz w:val="20"/>
          <w:szCs w:val="20"/>
        </w:rPr>
      </w:pPr>
    </w:p>
    <w:p w:rsidR="0036376F" w:rsidRPr="0036376F" w:rsidRDefault="0036376F" w:rsidP="0036376F">
      <w:pPr>
        <w:pStyle w:val="Prrafodelista"/>
        <w:numPr>
          <w:ilvl w:val="0"/>
          <w:numId w:val="32"/>
        </w:numPr>
        <w:jc w:val="both"/>
        <w:rPr>
          <w:rFonts w:ascii="Arial" w:hAnsi="Arial" w:cs="Arial"/>
          <w:color w:val="002060"/>
          <w:sz w:val="20"/>
          <w:szCs w:val="20"/>
        </w:rPr>
      </w:pPr>
      <w:r w:rsidRPr="0036376F">
        <w:rPr>
          <w:rFonts w:ascii="Arial" w:hAnsi="Arial" w:cs="Arial"/>
          <w:color w:val="002060"/>
          <w:sz w:val="20"/>
          <w:szCs w:val="20"/>
        </w:rPr>
        <w:t>El 2009 l’empresa exportava un 56% de les vendes i el 201</w:t>
      </w:r>
      <w:r>
        <w:rPr>
          <w:rFonts w:ascii="Arial" w:hAnsi="Arial" w:cs="Arial"/>
          <w:color w:val="002060"/>
          <w:sz w:val="20"/>
          <w:szCs w:val="20"/>
        </w:rPr>
        <w:t>9</w:t>
      </w:r>
      <w:r w:rsidRPr="0036376F">
        <w:rPr>
          <w:rFonts w:ascii="Arial" w:hAnsi="Arial" w:cs="Arial"/>
          <w:color w:val="002060"/>
          <w:sz w:val="20"/>
          <w:szCs w:val="20"/>
        </w:rPr>
        <w:t xml:space="preserve"> un 8</w:t>
      </w:r>
      <w:r>
        <w:rPr>
          <w:rFonts w:ascii="Arial" w:hAnsi="Arial" w:cs="Arial"/>
          <w:color w:val="002060"/>
          <w:sz w:val="20"/>
          <w:szCs w:val="20"/>
        </w:rPr>
        <w:t>3</w:t>
      </w:r>
      <w:r w:rsidRPr="0036376F">
        <w:rPr>
          <w:rFonts w:ascii="Arial" w:hAnsi="Arial" w:cs="Arial"/>
          <w:color w:val="002060"/>
          <w:sz w:val="20"/>
          <w:szCs w:val="20"/>
        </w:rPr>
        <w:t>%.</w:t>
      </w:r>
    </w:p>
    <w:p w:rsidR="0036376F" w:rsidRPr="0036376F" w:rsidRDefault="0036376F" w:rsidP="0036376F">
      <w:pPr>
        <w:pStyle w:val="Prrafodelista"/>
        <w:numPr>
          <w:ilvl w:val="0"/>
          <w:numId w:val="32"/>
        </w:numPr>
        <w:jc w:val="both"/>
        <w:rPr>
          <w:rFonts w:ascii="Arial" w:hAnsi="Arial" w:cs="Arial"/>
          <w:color w:val="002060"/>
          <w:sz w:val="20"/>
          <w:szCs w:val="20"/>
        </w:rPr>
      </w:pPr>
      <w:r w:rsidRPr="0036376F">
        <w:rPr>
          <w:rFonts w:ascii="Arial" w:hAnsi="Arial" w:cs="Arial"/>
          <w:color w:val="002060"/>
          <w:sz w:val="20"/>
          <w:szCs w:val="20"/>
        </w:rPr>
        <w:t>La recerca també està obtenint bons resultats sent l’empresa que més vacunes animals ha aconseguit introduir al mercat l’última dècada amb un total de 1</w:t>
      </w:r>
      <w:r>
        <w:rPr>
          <w:rFonts w:ascii="Arial" w:hAnsi="Arial" w:cs="Arial"/>
          <w:color w:val="002060"/>
          <w:sz w:val="20"/>
          <w:szCs w:val="20"/>
        </w:rPr>
        <w:t>8</w:t>
      </w:r>
      <w:r w:rsidRPr="0036376F">
        <w:rPr>
          <w:rFonts w:ascii="Arial" w:hAnsi="Arial" w:cs="Arial"/>
          <w:color w:val="002060"/>
          <w:sz w:val="20"/>
          <w:szCs w:val="20"/>
        </w:rPr>
        <w:t>.</w:t>
      </w:r>
    </w:p>
    <w:p w:rsidR="0036376F" w:rsidRDefault="0036376F" w:rsidP="0036376F">
      <w:pPr>
        <w:pStyle w:val="Prrafodelista"/>
        <w:numPr>
          <w:ilvl w:val="0"/>
          <w:numId w:val="32"/>
        </w:numPr>
        <w:jc w:val="both"/>
        <w:rPr>
          <w:rFonts w:ascii="Arial" w:hAnsi="Arial" w:cs="Arial"/>
          <w:color w:val="002060"/>
          <w:sz w:val="20"/>
          <w:szCs w:val="20"/>
        </w:rPr>
      </w:pPr>
      <w:r w:rsidRPr="0036376F">
        <w:rPr>
          <w:rFonts w:ascii="Arial" w:hAnsi="Arial" w:cs="Arial"/>
          <w:color w:val="002060"/>
          <w:sz w:val="20"/>
          <w:szCs w:val="20"/>
        </w:rPr>
        <w:t>La distribució de les vendes per tipologia de producte és el següent:</w:t>
      </w:r>
    </w:p>
    <w:p w:rsidR="0036376F" w:rsidRPr="0036376F" w:rsidRDefault="0036376F" w:rsidP="0036376F">
      <w:pPr>
        <w:pStyle w:val="Prrafodelista"/>
        <w:ind w:left="772"/>
        <w:jc w:val="both"/>
        <w:rPr>
          <w:rFonts w:ascii="Arial" w:hAnsi="Arial" w:cs="Arial"/>
          <w:color w:val="002060"/>
          <w:sz w:val="20"/>
          <w:szCs w:val="20"/>
        </w:rPr>
      </w:pPr>
    </w:p>
    <w:p w:rsidR="0036376F" w:rsidRDefault="00F87F4B" w:rsidP="00191E30">
      <w:pPr>
        <w:ind w:left="993"/>
        <w:jc w:val="both"/>
        <w:rPr>
          <w:rFonts w:ascii="Arial" w:hAnsi="Arial" w:cs="Arial"/>
          <w:color w:val="002060"/>
          <w:sz w:val="20"/>
          <w:szCs w:val="20"/>
        </w:rPr>
      </w:pPr>
      <w:r>
        <w:rPr>
          <w:rFonts w:ascii="Arial" w:hAnsi="Arial" w:cs="Arial"/>
          <w:color w:val="002060"/>
          <w:sz w:val="20"/>
          <w:szCs w:val="20"/>
        </w:rPr>
        <w:t>Taula 4.1 Distribució de les vendes de Hipra</w:t>
      </w:r>
      <w:r w:rsidR="00191E30">
        <w:rPr>
          <w:rFonts w:ascii="Arial" w:hAnsi="Arial" w:cs="Arial"/>
          <w:color w:val="002060"/>
          <w:sz w:val="20"/>
          <w:szCs w:val="20"/>
        </w:rPr>
        <w:t xml:space="preserve"> per tipologia de producte</w:t>
      </w:r>
      <w:r>
        <w:rPr>
          <w:rFonts w:ascii="Arial" w:hAnsi="Arial" w:cs="Arial"/>
          <w:color w:val="002060"/>
          <w:sz w:val="20"/>
          <w:szCs w:val="20"/>
        </w:rPr>
        <w:t xml:space="preserve"> </w:t>
      </w:r>
      <w:r w:rsidR="00191E30">
        <w:rPr>
          <w:rFonts w:ascii="Arial" w:hAnsi="Arial" w:cs="Arial"/>
          <w:color w:val="002060"/>
          <w:sz w:val="20"/>
          <w:szCs w:val="20"/>
        </w:rPr>
        <w:t>(</w:t>
      </w:r>
      <w:r>
        <w:rPr>
          <w:rFonts w:ascii="Arial" w:hAnsi="Arial" w:cs="Arial"/>
          <w:color w:val="002060"/>
          <w:sz w:val="20"/>
          <w:szCs w:val="20"/>
        </w:rPr>
        <w:t>anys 2009 i 2019</w:t>
      </w:r>
      <w:r w:rsidR="00191E30">
        <w:rPr>
          <w:rFonts w:ascii="Arial" w:hAnsi="Arial" w:cs="Arial"/>
          <w:color w:val="002060"/>
          <w:sz w:val="20"/>
          <w:szCs w:val="20"/>
        </w:rPr>
        <w:t>)</w:t>
      </w:r>
    </w:p>
    <w:p w:rsidR="00F87F4B" w:rsidRPr="0036376F" w:rsidRDefault="00F87F4B" w:rsidP="00F87F4B">
      <w:pPr>
        <w:ind w:left="1418"/>
        <w:jc w:val="both"/>
        <w:rPr>
          <w:rFonts w:ascii="Arial" w:hAnsi="Arial" w:cs="Arial"/>
          <w:color w:val="002060"/>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270"/>
        <w:gridCol w:w="1560"/>
      </w:tblGrid>
      <w:tr w:rsidR="0036376F" w:rsidRPr="0036376F" w:rsidTr="00F87F4B">
        <w:trPr>
          <w:trHeight w:val="269"/>
          <w:jc w:val="center"/>
        </w:trPr>
        <w:tc>
          <w:tcPr>
            <w:tcW w:w="2694" w:type="dxa"/>
            <w:tcBorders>
              <w:bottom w:val="single" w:sz="4" w:space="0" w:color="auto"/>
            </w:tcBorders>
          </w:tcPr>
          <w:p w:rsidR="0036376F" w:rsidRPr="0036376F" w:rsidRDefault="0036376F" w:rsidP="0036376F">
            <w:pPr>
              <w:jc w:val="both"/>
              <w:rPr>
                <w:rFonts w:ascii="Arial" w:hAnsi="Arial" w:cs="Arial"/>
                <w:color w:val="002060"/>
                <w:sz w:val="20"/>
                <w:szCs w:val="20"/>
              </w:rPr>
            </w:pPr>
          </w:p>
        </w:tc>
        <w:tc>
          <w:tcPr>
            <w:tcW w:w="1270" w:type="dxa"/>
            <w:tcBorders>
              <w:bottom w:val="single" w:sz="4" w:space="0" w:color="auto"/>
            </w:tcBorders>
            <w:shd w:val="clear" w:color="auto" w:fill="E7E6E6" w:themeFill="background2"/>
          </w:tcPr>
          <w:p w:rsidR="0036376F" w:rsidRPr="00F87F4B" w:rsidRDefault="0036376F" w:rsidP="0036376F">
            <w:pPr>
              <w:jc w:val="center"/>
              <w:rPr>
                <w:rFonts w:ascii="Arial" w:hAnsi="Arial" w:cs="Arial"/>
                <w:color w:val="002060"/>
                <w:sz w:val="20"/>
                <w:szCs w:val="20"/>
              </w:rPr>
            </w:pPr>
            <w:r w:rsidRPr="00F87F4B">
              <w:rPr>
                <w:rFonts w:ascii="Arial" w:hAnsi="Arial" w:cs="Arial"/>
                <w:color w:val="002060"/>
                <w:sz w:val="20"/>
                <w:szCs w:val="20"/>
              </w:rPr>
              <w:t>2009</w:t>
            </w:r>
          </w:p>
        </w:tc>
        <w:tc>
          <w:tcPr>
            <w:tcW w:w="1560" w:type="dxa"/>
            <w:tcBorders>
              <w:bottom w:val="single" w:sz="4" w:space="0" w:color="auto"/>
            </w:tcBorders>
            <w:shd w:val="clear" w:color="auto" w:fill="E7E6E6" w:themeFill="background2"/>
          </w:tcPr>
          <w:p w:rsidR="0036376F" w:rsidRPr="00F87F4B" w:rsidRDefault="0036376F" w:rsidP="0036376F">
            <w:pPr>
              <w:jc w:val="center"/>
              <w:rPr>
                <w:rFonts w:ascii="Arial" w:hAnsi="Arial" w:cs="Arial"/>
                <w:color w:val="002060"/>
                <w:sz w:val="20"/>
                <w:szCs w:val="20"/>
              </w:rPr>
            </w:pPr>
            <w:r w:rsidRPr="00F87F4B">
              <w:rPr>
                <w:rFonts w:ascii="Arial" w:hAnsi="Arial" w:cs="Arial"/>
                <w:color w:val="002060"/>
                <w:sz w:val="20"/>
                <w:szCs w:val="20"/>
              </w:rPr>
              <w:t>2019</w:t>
            </w:r>
          </w:p>
        </w:tc>
      </w:tr>
      <w:tr w:rsidR="0036376F" w:rsidRPr="0036376F" w:rsidTr="00F87F4B">
        <w:trPr>
          <w:trHeight w:val="269"/>
          <w:jc w:val="center"/>
        </w:trPr>
        <w:tc>
          <w:tcPr>
            <w:tcW w:w="2694" w:type="dxa"/>
            <w:tcBorders>
              <w:top w:val="single" w:sz="4" w:space="0" w:color="auto"/>
            </w:tcBorders>
            <w:shd w:val="clear" w:color="auto" w:fill="E7E6E6" w:themeFill="background2"/>
          </w:tcPr>
          <w:p w:rsidR="0036376F" w:rsidRPr="00F87F4B" w:rsidRDefault="0036376F" w:rsidP="0036376F">
            <w:pPr>
              <w:jc w:val="both"/>
              <w:rPr>
                <w:rFonts w:ascii="Arial" w:hAnsi="Arial" w:cs="Arial"/>
                <w:color w:val="002060"/>
                <w:sz w:val="20"/>
                <w:szCs w:val="20"/>
              </w:rPr>
            </w:pPr>
            <w:r w:rsidRPr="00F87F4B">
              <w:rPr>
                <w:rFonts w:ascii="Arial" w:hAnsi="Arial" w:cs="Arial"/>
                <w:color w:val="002060"/>
                <w:sz w:val="20"/>
                <w:szCs w:val="20"/>
              </w:rPr>
              <w:t>Vacunes</w:t>
            </w:r>
          </w:p>
        </w:tc>
        <w:tc>
          <w:tcPr>
            <w:tcW w:w="1270" w:type="dxa"/>
            <w:tcBorders>
              <w:top w:val="single" w:sz="4" w:space="0" w:color="auto"/>
            </w:tcBorders>
          </w:tcPr>
          <w:p w:rsidR="0036376F" w:rsidRPr="0036376F" w:rsidRDefault="0036376F" w:rsidP="0036376F">
            <w:pPr>
              <w:jc w:val="center"/>
              <w:rPr>
                <w:rFonts w:ascii="Arial" w:hAnsi="Arial" w:cs="Arial"/>
                <w:color w:val="002060"/>
                <w:sz w:val="20"/>
                <w:szCs w:val="20"/>
              </w:rPr>
            </w:pPr>
            <w:r w:rsidRPr="0036376F">
              <w:rPr>
                <w:rFonts w:ascii="Arial" w:hAnsi="Arial" w:cs="Arial"/>
                <w:color w:val="002060"/>
                <w:sz w:val="20"/>
                <w:szCs w:val="20"/>
              </w:rPr>
              <w:t>55%</w:t>
            </w:r>
          </w:p>
        </w:tc>
        <w:tc>
          <w:tcPr>
            <w:tcW w:w="1560" w:type="dxa"/>
            <w:tcBorders>
              <w:top w:val="single" w:sz="4" w:space="0" w:color="auto"/>
            </w:tcBorders>
          </w:tcPr>
          <w:p w:rsidR="0036376F" w:rsidRPr="0036376F" w:rsidRDefault="0036376F" w:rsidP="0036376F">
            <w:pPr>
              <w:jc w:val="center"/>
              <w:rPr>
                <w:rFonts w:ascii="Arial" w:hAnsi="Arial" w:cs="Arial"/>
                <w:color w:val="002060"/>
                <w:sz w:val="20"/>
                <w:szCs w:val="20"/>
              </w:rPr>
            </w:pPr>
            <w:r w:rsidRPr="0036376F">
              <w:rPr>
                <w:rFonts w:ascii="Arial" w:hAnsi="Arial" w:cs="Arial"/>
                <w:color w:val="002060"/>
                <w:sz w:val="20"/>
                <w:szCs w:val="20"/>
              </w:rPr>
              <w:t>84%</w:t>
            </w:r>
          </w:p>
        </w:tc>
      </w:tr>
      <w:tr w:rsidR="0036376F" w:rsidRPr="0036376F" w:rsidTr="00F87F4B">
        <w:trPr>
          <w:trHeight w:val="269"/>
          <w:jc w:val="center"/>
        </w:trPr>
        <w:tc>
          <w:tcPr>
            <w:tcW w:w="2694" w:type="dxa"/>
            <w:shd w:val="clear" w:color="auto" w:fill="E7E6E6" w:themeFill="background2"/>
          </w:tcPr>
          <w:p w:rsidR="0036376F" w:rsidRPr="00F87F4B" w:rsidRDefault="0036376F" w:rsidP="0036376F">
            <w:pPr>
              <w:jc w:val="both"/>
              <w:rPr>
                <w:rFonts w:ascii="Arial" w:hAnsi="Arial" w:cs="Arial"/>
                <w:color w:val="002060"/>
                <w:sz w:val="20"/>
                <w:szCs w:val="20"/>
              </w:rPr>
            </w:pPr>
            <w:r w:rsidRPr="00F87F4B">
              <w:rPr>
                <w:rFonts w:ascii="Arial" w:hAnsi="Arial" w:cs="Arial"/>
                <w:color w:val="002060"/>
                <w:sz w:val="20"/>
                <w:szCs w:val="20"/>
              </w:rPr>
              <w:t>Productes farmacològics</w:t>
            </w:r>
          </w:p>
        </w:tc>
        <w:tc>
          <w:tcPr>
            <w:tcW w:w="1270" w:type="dxa"/>
          </w:tcPr>
          <w:p w:rsidR="0036376F" w:rsidRPr="0036376F" w:rsidRDefault="0036376F" w:rsidP="0036376F">
            <w:pPr>
              <w:jc w:val="center"/>
              <w:rPr>
                <w:rFonts w:ascii="Arial" w:hAnsi="Arial" w:cs="Arial"/>
                <w:color w:val="002060"/>
                <w:sz w:val="20"/>
                <w:szCs w:val="20"/>
              </w:rPr>
            </w:pPr>
            <w:r w:rsidRPr="0036376F">
              <w:rPr>
                <w:rFonts w:ascii="Arial" w:hAnsi="Arial" w:cs="Arial"/>
                <w:color w:val="002060"/>
                <w:sz w:val="20"/>
                <w:szCs w:val="20"/>
              </w:rPr>
              <w:t>40%</w:t>
            </w:r>
          </w:p>
        </w:tc>
        <w:tc>
          <w:tcPr>
            <w:tcW w:w="1560" w:type="dxa"/>
          </w:tcPr>
          <w:p w:rsidR="0036376F" w:rsidRPr="0036376F" w:rsidRDefault="0036376F" w:rsidP="0036376F">
            <w:pPr>
              <w:jc w:val="center"/>
              <w:rPr>
                <w:rFonts w:ascii="Arial" w:hAnsi="Arial" w:cs="Arial"/>
                <w:color w:val="002060"/>
                <w:sz w:val="20"/>
                <w:szCs w:val="20"/>
              </w:rPr>
            </w:pPr>
            <w:r w:rsidRPr="0036376F">
              <w:rPr>
                <w:rFonts w:ascii="Arial" w:hAnsi="Arial" w:cs="Arial"/>
                <w:color w:val="002060"/>
                <w:sz w:val="20"/>
                <w:szCs w:val="20"/>
              </w:rPr>
              <w:t>1</w:t>
            </w:r>
            <w:r>
              <w:rPr>
                <w:rFonts w:ascii="Arial" w:hAnsi="Arial" w:cs="Arial"/>
                <w:color w:val="002060"/>
                <w:sz w:val="20"/>
                <w:szCs w:val="20"/>
              </w:rPr>
              <w:t>5</w:t>
            </w:r>
            <w:r w:rsidRPr="0036376F">
              <w:rPr>
                <w:rFonts w:ascii="Arial" w:hAnsi="Arial" w:cs="Arial"/>
                <w:color w:val="002060"/>
                <w:sz w:val="20"/>
                <w:szCs w:val="20"/>
              </w:rPr>
              <w:t>%</w:t>
            </w:r>
          </w:p>
        </w:tc>
      </w:tr>
    </w:tbl>
    <w:p w:rsidR="0036376F" w:rsidRPr="00F87F4B" w:rsidRDefault="00F87F4B" w:rsidP="0036376F">
      <w:pPr>
        <w:jc w:val="both"/>
        <w:rPr>
          <w:rFonts w:ascii="Arial" w:hAnsi="Arial" w:cs="Arial"/>
          <w:color w:val="002060"/>
          <w:sz w:val="14"/>
          <w:szCs w:val="14"/>
        </w:rPr>
      </w:pPr>
      <w:r>
        <w:rPr>
          <w:rFonts w:ascii="Arial" w:hAnsi="Arial" w:cs="Arial"/>
          <w:color w:val="002060"/>
          <w:sz w:val="20"/>
          <w:szCs w:val="20"/>
        </w:rPr>
        <w:tab/>
      </w:r>
      <w:r>
        <w:rPr>
          <w:rFonts w:ascii="Arial" w:hAnsi="Arial" w:cs="Arial"/>
          <w:color w:val="002060"/>
          <w:sz w:val="20"/>
          <w:szCs w:val="20"/>
        </w:rPr>
        <w:tab/>
      </w:r>
      <w:r w:rsidRPr="00F87F4B">
        <w:rPr>
          <w:rFonts w:ascii="Arial" w:hAnsi="Arial" w:cs="Arial"/>
          <w:color w:val="002060"/>
          <w:sz w:val="14"/>
          <w:szCs w:val="14"/>
        </w:rPr>
        <w:t xml:space="preserve">Font: Informació no financera de la web corporativa de Hipra. </w:t>
      </w:r>
      <w:hyperlink r:id="rId63" w:history="1">
        <w:r w:rsidRPr="00F87F4B">
          <w:rPr>
            <w:rStyle w:val="Hipervnculo"/>
            <w:rFonts w:ascii="Arial" w:hAnsi="Arial" w:cs="Arial"/>
            <w:color w:val="002060"/>
            <w:sz w:val="14"/>
            <w:szCs w:val="14"/>
          </w:rPr>
          <w:t>https://www.hipra.com/portal/ca/hipra/home</w:t>
        </w:r>
      </w:hyperlink>
    </w:p>
    <w:p w:rsidR="0036376F" w:rsidRPr="0036376F" w:rsidRDefault="0036376F" w:rsidP="0036376F">
      <w:pPr>
        <w:jc w:val="both"/>
        <w:rPr>
          <w:rFonts w:ascii="Arial" w:hAnsi="Arial" w:cs="Arial"/>
          <w:color w:val="002060"/>
          <w:sz w:val="20"/>
          <w:szCs w:val="20"/>
        </w:rPr>
      </w:pPr>
    </w:p>
    <w:p w:rsidR="0036376F" w:rsidRPr="0036376F" w:rsidRDefault="0036376F" w:rsidP="0036376F">
      <w:pPr>
        <w:jc w:val="both"/>
        <w:rPr>
          <w:rFonts w:ascii="Arial" w:hAnsi="Arial" w:cs="Arial"/>
          <w:color w:val="002060"/>
          <w:sz w:val="20"/>
          <w:szCs w:val="20"/>
        </w:rPr>
      </w:pPr>
      <w:r w:rsidRPr="0036376F">
        <w:rPr>
          <w:rFonts w:ascii="Arial" w:hAnsi="Arial" w:cs="Arial"/>
          <w:color w:val="002060"/>
          <w:sz w:val="20"/>
          <w:szCs w:val="20"/>
        </w:rPr>
        <w:t>Aquesta estratègia</w:t>
      </w:r>
      <w:r>
        <w:rPr>
          <w:rFonts w:ascii="Arial" w:hAnsi="Arial" w:cs="Arial"/>
          <w:color w:val="002060"/>
          <w:sz w:val="20"/>
          <w:szCs w:val="20"/>
        </w:rPr>
        <w:t>,</w:t>
      </w:r>
      <w:r w:rsidRPr="0036376F">
        <w:rPr>
          <w:rFonts w:ascii="Arial" w:hAnsi="Arial" w:cs="Arial"/>
          <w:color w:val="002060"/>
          <w:sz w:val="20"/>
          <w:szCs w:val="20"/>
        </w:rPr>
        <w:t xml:space="preserve"> que li permet obtenir rendibilitats d’entre un 15-20% anual</w:t>
      </w:r>
      <w:r>
        <w:rPr>
          <w:rFonts w:ascii="Arial" w:hAnsi="Arial" w:cs="Arial"/>
          <w:color w:val="002060"/>
          <w:sz w:val="20"/>
          <w:szCs w:val="20"/>
        </w:rPr>
        <w:t>,</w:t>
      </w:r>
      <w:r w:rsidRPr="0036376F">
        <w:rPr>
          <w:rFonts w:ascii="Arial" w:hAnsi="Arial" w:cs="Arial"/>
          <w:color w:val="002060"/>
          <w:sz w:val="20"/>
          <w:szCs w:val="20"/>
        </w:rPr>
        <w:t xml:space="preserve"> segueix vigent en l’actualitat: invertint un 10% de la facturació en investigació, incorporant serveis innovadors que complementen i aporten un valor afegit als clients de les vacunes, i  desenvolupant  xarxes comercials per tenir major </w:t>
      </w:r>
      <w:r>
        <w:rPr>
          <w:rFonts w:ascii="Arial" w:hAnsi="Arial" w:cs="Arial"/>
          <w:color w:val="002060"/>
          <w:sz w:val="20"/>
          <w:szCs w:val="20"/>
        </w:rPr>
        <w:t>potencial de vendes en</w:t>
      </w:r>
      <w:r w:rsidRPr="0036376F">
        <w:rPr>
          <w:rFonts w:ascii="Arial" w:hAnsi="Arial" w:cs="Arial"/>
          <w:color w:val="002060"/>
          <w:sz w:val="20"/>
          <w:szCs w:val="20"/>
        </w:rPr>
        <w:t xml:space="preserve"> mercats internacionals.</w:t>
      </w:r>
    </w:p>
    <w:p w:rsidR="0036376F" w:rsidRPr="0036376F" w:rsidRDefault="0036376F" w:rsidP="0036376F">
      <w:pPr>
        <w:jc w:val="both"/>
        <w:rPr>
          <w:rFonts w:ascii="Arial" w:hAnsi="Arial" w:cs="Arial"/>
          <w:color w:val="002060"/>
          <w:sz w:val="20"/>
          <w:szCs w:val="20"/>
        </w:rPr>
      </w:pPr>
    </w:p>
    <w:p w:rsidR="0036376F" w:rsidRDefault="0036376F" w:rsidP="0036376F">
      <w:pPr>
        <w:jc w:val="both"/>
        <w:rPr>
          <w:rFonts w:ascii="Arial" w:hAnsi="Arial" w:cs="Arial"/>
          <w:color w:val="002060"/>
          <w:sz w:val="20"/>
          <w:szCs w:val="20"/>
        </w:rPr>
      </w:pPr>
      <w:r w:rsidRPr="0036376F">
        <w:rPr>
          <w:rFonts w:ascii="Arial" w:hAnsi="Arial" w:cs="Arial"/>
          <w:color w:val="002060"/>
          <w:sz w:val="20"/>
          <w:szCs w:val="20"/>
        </w:rPr>
        <w:t xml:space="preserve">Segons dades de la companyia, el mercat de salut animal durant el període analitzat ha tingut creixements del 3-5% anual i el mercat de biològics un 5-8% anuals. A més, els biològics </w:t>
      </w:r>
      <w:r>
        <w:rPr>
          <w:rFonts w:ascii="Arial" w:hAnsi="Arial" w:cs="Arial"/>
          <w:color w:val="002060"/>
          <w:sz w:val="20"/>
          <w:szCs w:val="20"/>
        </w:rPr>
        <w:t>dins dels</w:t>
      </w:r>
      <w:r w:rsidRPr="0036376F">
        <w:rPr>
          <w:rFonts w:ascii="Arial" w:hAnsi="Arial" w:cs="Arial"/>
          <w:color w:val="002060"/>
          <w:sz w:val="20"/>
          <w:szCs w:val="20"/>
        </w:rPr>
        <w:t xml:space="preserve"> mercat mundial de Sal</w:t>
      </w:r>
      <w:r>
        <w:rPr>
          <w:rFonts w:ascii="Arial" w:hAnsi="Arial" w:cs="Arial"/>
          <w:color w:val="002060"/>
          <w:sz w:val="20"/>
          <w:szCs w:val="20"/>
        </w:rPr>
        <w:t>u</w:t>
      </w:r>
      <w:r w:rsidRPr="0036376F">
        <w:rPr>
          <w:rFonts w:ascii="Arial" w:hAnsi="Arial" w:cs="Arial"/>
          <w:color w:val="002060"/>
          <w:sz w:val="20"/>
          <w:szCs w:val="20"/>
        </w:rPr>
        <w:t xml:space="preserve">t Animal ha guanyat pes </w:t>
      </w:r>
      <w:r>
        <w:rPr>
          <w:rFonts w:ascii="Arial" w:hAnsi="Arial" w:cs="Arial"/>
          <w:color w:val="002060"/>
          <w:sz w:val="20"/>
          <w:szCs w:val="20"/>
        </w:rPr>
        <w:t>els darrers</w:t>
      </w:r>
      <w:r w:rsidRPr="0036376F">
        <w:rPr>
          <w:rFonts w:ascii="Arial" w:hAnsi="Arial" w:cs="Arial"/>
          <w:color w:val="002060"/>
          <w:sz w:val="20"/>
          <w:szCs w:val="20"/>
        </w:rPr>
        <w:t xml:space="preserve"> 4 anys, passant del 26 al 28%. Els augments d’ingressos de Hipra </w:t>
      </w:r>
      <w:r>
        <w:rPr>
          <w:rFonts w:ascii="Arial" w:hAnsi="Arial" w:cs="Arial"/>
          <w:color w:val="002060"/>
          <w:sz w:val="20"/>
          <w:szCs w:val="20"/>
        </w:rPr>
        <w:t>oscil·len amb valors entre</w:t>
      </w:r>
      <w:r w:rsidRPr="0036376F">
        <w:rPr>
          <w:rFonts w:ascii="Arial" w:hAnsi="Arial" w:cs="Arial"/>
          <w:color w:val="002060"/>
          <w:sz w:val="20"/>
          <w:szCs w:val="20"/>
        </w:rPr>
        <w:t xml:space="preserve"> 6</w:t>
      </w:r>
      <w:r>
        <w:rPr>
          <w:rFonts w:ascii="Arial" w:hAnsi="Arial" w:cs="Arial"/>
          <w:color w:val="002060"/>
          <w:sz w:val="20"/>
          <w:szCs w:val="20"/>
        </w:rPr>
        <w:t xml:space="preserve"> i </w:t>
      </w:r>
      <w:r w:rsidRPr="0036376F">
        <w:rPr>
          <w:rFonts w:ascii="Arial" w:hAnsi="Arial" w:cs="Arial"/>
          <w:color w:val="002060"/>
          <w:sz w:val="20"/>
          <w:szCs w:val="20"/>
        </w:rPr>
        <w:t>11%</w:t>
      </w:r>
      <w:r>
        <w:rPr>
          <w:rFonts w:ascii="Arial" w:hAnsi="Arial" w:cs="Arial"/>
          <w:color w:val="002060"/>
          <w:sz w:val="20"/>
          <w:szCs w:val="20"/>
        </w:rPr>
        <w:t xml:space="preserve"> anuals</w:t>
      </w:r>
      <w:r w:rsidRPr="0036376F">
        <w:rPr>
          <w:rFonts w:ascii="Arial" w:hAnsi="Arial" w:cs="Arial"/>
          <w:color w:val="002060"/>
          <w:sz w:val="20"/>
          <w:szCs w:val="20"/>
        </w:rPr>
        <w:t xml:space="preserve"> en aquests exercicis</w:t>
      </w:r>
      <w:r>
        <w:rPr>
          <w:rFonts w:ascii="Arial" w:hAnsi="Arial" w:cs="Arial"/>
          <w:color w:val="002060"/>
          <w:sz w:val="20"/>
          <w:szCs w:val="20"/>
        </w:rPr>
        <w:t xml:space="preserve">, un </w:t>
      </w:r>
      <w:r w:rsidRPr="0036376F">
        <w:rPr>
          <w:rFonts w:ascii="Arial" w:hAnsi="Arial" w:cs="Arial"/>
          <w:color w:val="002060"/>
          <w:sz w:val="20"/>
          <w:szCs w:val="20"/>
        </w:rPr>
        <w:t xml:space="preserve">creixement </w:t>
      </w:r>
      <w:r>
        <w:rPr>
          <w:rFonts w:ascii="Arial" w:hAnsi="Arial" w:cs="Arial"/>
          <w:color w:val="002060"/>
          <w:sz w:val="20"/>
          <w:szCs w:val="20"/>
        </w:rPr>
        <w:t xml:space="preserve">superior al </w:t>
      </w:r>
      <w:r w:rsidRPr="0036376F">
        <w:rPr>
          <w:rFonts w:ascii="Arial" w:hAnsi="Arial" w:cs="Arial"/>
          <w:color w:val="002060"/>
          <w:sz w:val="20"/>
          <w:szCs w:val="20"/>
        </w:rPr>
        <w:t>que experimenta el sector. Això significa que està guanyant quota de mercat.</w:t>
      </w:r>
    </w:p>
    <w:p w:rsidR="0036376F" w:rsidRDefault="0036376F" w:rsidP="0036376F">
      <w:pPr>
        <w:jc w:val="both"/>
        <w:rPr>
          <w:rFonts w:ascii="Arial" w:hAnsi="Arial" w:cs="Arial"/>
          <w:color w:val="002060"/>
          <w:sz w:val="20"/>
          <w:szCs w:val="20"/>
        </w:rPr>
      </w:pPr>
    </w:p>
    <w:p w:rsidR="0036376F" w:rsidRDefault="0036376F" w:rsidP="0036376F">
      <w:pPr>
        <w:jc w:val="both"/>
        <w:rPr>
          <w:rFonts w:ascii="Arial" w:hAnsi="Arial" w:cs="Arial"/>
          <w:color w:val="002060"/>
          <w:sz w:val="20"/>
          <w:szCs w:val="20"/>
        </w:rPr>
      </w:pPr>
      <w:r>
        <w:rPr>
          <w:rFonts w:ascii="Arial" w:hAnsi="Arial" w:cs="Arial"/>
          <w:color w:val="002060"/>
          <w:sz w:val="20"/>
          <w:szCs w:val="20"/>
        </w:rPr>
        <w:lastRenderedPageBreak/>
        <w:t>A la taula 3.1 on podem trobar el llistat amb les 20 empreses que lideren el sector de Salut Animal en volum de vendes l’any 2019. Laboratoris Hipra ocupa la 15ª posició però a diferència de la resta intervé al mercat centrant</w:t>
      </w:r>
      <w:r w:rsidR="000468A0">
        <w:rPr>
          <w:rFonts w:ascii="Arial" w:hAnsi="Arial" w:cs="Arial"/>
          <w:color w:val="002060"/>
          <w:sz w:val="20"/>
          <w:szCs w:val="20"/>
        </w:rPr>
        <w:t xml:space="preserve"> el seu negoci</w:t>
      </w:r>
      <w:r>
        <w:rPr>
          <w:rFonts w:ascii="Arial" w:hAnsi="Arial" w:cs="Arial"/>
          <w:color w:val="002060"/>
          <w:sz w:val="20"/>
          <w:szCs w:val="20"/>
        </w:rPr>
        <w:t xml:space="preserve"> en una </w:t>
      </w:r>
      <w:r w:rsidR="000468A0">
        <w:rPr>
          <w:rFonts w:ascii="Arial" w:hAnsi="Arial" w:cs="Arial"/>
          <w:color w:val="002060"/>
          <w:sz w:val="20"/>
          <w:szCs w:val="20"/>
        </w:rPr>
        <w:t>única</w:t>
      </w:r>
      <w:r>
        <w:rPr>
          <w:rFonts w:ascii="Arial" w:hAnsi="Arial" w:cs="Arial"/>
          <w:color w:val="002060"/>
          <w:sz w:val="20"/>
          <w:szCs w:val="20"/>
        </w:rPr>
        <w:t xml:space="preserve"> especialitat, les vacunes per animals de producció mentre que la resta també s’adrecen als segment d’animals domèstics (un segment a l’alça) , elaboren productes nutricionals, farmacològics, tractaments d’aigües, entre d’altres… En aquest estudi s’ha intentat extreure els resultats dels competidors atribuïbles només al segment de vacunes animals, per fer un anàlisi més precís, però no ho ha estat possible per la manca d’informació </w:t>
      </w:r>
      <w:r w:rsidR="00B5250F">
        <w:rPr>
          <w:rFonts w:ascii="Arial" w:hAnsi="Arial" w:cs="Arial"/>
          <w:color w:val="002060"/>
          <w:sz w:val="20"/>
          <w:szCs w:val="20"/>
        </w:rPr>
        <w:t>dels seus</w:t>
      </w:r>
      <w:r>
        <w:rPr>
          <w:rFonts w:ascii="Arial" w:hAnsi="Arial" w:cs="Arial"/>
          <w:color w:val="002060"/>
          <w:sz w:val="20"/>
          <w:szCs w:val="20"/>
        </w:rPr>
        <w:t xml:space="preserve"> comptes anuals. </w:t>
      </w:r>
    </w:p>
    <w:p w:rsidR="0036376F" w:rsidRDefault="0036376F" w:rsidP="0036376F">
      <w:pPr>
        <w:jc w:val="both"/>
        <w:rPr>
          <w:rFonts w:ascii="Arial" w:hAnsi="Arial" w:cs="Arial"/>
          <w:color w:val="002060"/>
          <w:sz w:val="20"/>
          <w:szCs w:val="20"/>
        </w:rPr>
      </w:pPr>
    </w:p>
    <w:p w:rsidR="0036376F" w:rsidRDefault="0036376F" w:rsidP="0036376F">
      <w:pPr>
        <w:jc w:val="both"/>
        <w:rPr>
          <w:rFonts w:ascii="Arial" w:hAnsi="Arial" w:cs="Arial"/>
          <w:color w:val="002060"/>
          <w:sz w:val="20"/>
          <w:szCs w:val="20"/>
        </w:rPr>
      </w:pPr>
      <w:r>
        <w:rPr>
          <w:rFonts w:ascii="Arial" w:hAnsi="Arial" w:cs="Arial"/>
          <w:color w:val="002060"/>
          <w:sz w:val="20"/>
          <w:szCs w:val="20"/>
        </w:rPr>
        <w:t xml:space="preserve">El creixement de l’empresa Hipra és estable i continuat, i procedeix d’un increment de les vendes que es trasllada en forma de resultats que aleshores són reinvertits a l’empresa en percentatges d’un 75-80% per finançar nous recursos que contribueixen a un major volum de vendes del següent exercici. Aquest cicle es va repetint successivament des de fa molts anys. Una de les claus de l’èxit passa per </w:t>
      </w:r>
      <w:r w:rsidR="000468A0">
        <w:rPr>
          <w:rFonts w:ascii="Arial" w:hAnsi="Arial" w:cs="Arial"/>
          <w:color w:val="002060"/>
          <w:sz w:val="20"/>
          <w:szCs w:val="20"/>
        </w:rPr>
        <w:t>la</w:t>
      </w:r>
      <w:r>
        <w:rPr>
          <w:rFonts w:ascii="Arial" w:hAnsi="Arial" w:cs="Arial"/>
          <w:color w:val="002060"/>
          <w:sz w:val="20"/>
          <w:szCs w:val="20"/>
        </w:rPr>
        <w:t xml:space="preserve"> capacitat que té l’empresa de </w:t>
      </w:r>
      <w:r w:rsidR="000468A0">
        <w:rPr>
          <w:rFonts w:ascii="Arial" w:hAnsi="Arial" w:cs="Arial"/>
          <w:color w:val="002060"/>
          <w:sz w:val="20"/>
          <w:szCs w:val="20"/>
        </w:rPr>
        <w:t>rendibilitzar</w:t>
      </w:r>
      <w:r>
        <w:rPr>
          <w:rFonts w:ascii="Arial" w:hAnsi="Arial" w:cs="Arial"/>
          <w:color w:val="002060"/>
          <w:sz w:val="20"/>
          <w:szCs w:val="20"/>
        </w:rPr>
        <w:t xml:space="preserve"> les seves inversions.</w:t>
      </w:r>
    </w:p>
    <w:p w:rsidR="0036376F" w:rsidRDefault="0036376F" w:rsidP="0036376F">
      <w:pPr>
        <w:jc w:val="both"/>
        <w:rPr>
          <w:rFonts w:ascii="Arial" w:hAnsi="Arial" w:cs="Arial"/>
          <w:color w:val="002060"/>
          <w:sz w:val="20"/>
          <w:szCs w:val="20"/>
        </w:rPr>
      </w:pPr>
    </w:p>
    <w:p w:rsidR="0036376F" w:rsidRDefault="0036376F" w:rsidP="0036376F">
      <w:pPr>
        <w:jc w:val="both"/>
        <w:rPr>
          <w:rFonts w:ascii="Arial" w:hAnsi="Arial" w:cs="Arial"/>
          <w:color w:val="002060"/>
          <w:sz w:val="20"/>
          <w:szCs w:val="20"/>
        </w:rPr>
      </w:pPr>
      <w:r>
        <w:rPr>
          <w:rFonts w:ascii="Arial" w:hAnsi="Arial" w:cs="Arial"/>
          <w:color w:val="002060"/>
          <w:sz w:val="20"/>
          <w:szCs w:val="20"/>
        </w:rPr>
        <w:t xml:space="preserve">L’estructura econòmica de l’empresa està repartida en 2 parts molt semblants l’una de l’altre. En aquest període de 5 exercicis analitzats inicialment l’actiu corrent era lleugerament més ampli que el fix però la tendència ha portat a un increment de l’actiu fix per sobre del corrent. Aquest canvi ve donat perquè l’empresa està incrementant aquells recursos que rendeixen a llarg termini (maquinària, instal·lacions, tecnologia) per damunt dels actius </w:t>
      </w:r>
      <w:r w:rsidR="000468A0">
        <w:rPr>
          <w:rFonts w:ascii="Arial" w:hAnsi="Arial" w:cs="Arial"/>
          <w:color w:val="002060"/>
          <w:sz w:val="20"/>
          <w:szCs w:val="20"/>
        </w:rPr>
        <w:t>a curt termini relacionats amb</w:t>
      </w:r>
      <w:r>
        <w:rPr>
          <w:rFonts w:ascii="Arial" w:hAnsi="Arial" w:cs="Arial"/>
          <w:color w:val="002060"/>
          <w:sz w:val="20"/>
          <w:szCs w:val="20"/>
        </w:rPr>
        <w:t xml:space="preserve"> l’activitat comercial dins l’exercici.</w:t>
      </w:r>
    </w:p>
    <w:p w:rsidR="0036376F" w:rsidRDefault="0036376F" w:rsidP="0036376F">
      <w:pPr>
        <w:jc w:val="both"/>
        <w:rPr>
          <w:rFonts w:ascii="Arial" w:hAnsi="Arial" w:cs="Arial"/>
          <w:color w:val="002060"/>
          <w:sz w:val="20"/>
          <w:szCs w:val="20"/>
        </w:rPr>
      </w:pPr>
    </w:p>
    <w:p w:rsidR="0036376F" w:rsidRDefault="0036376F" w:rsidP="0036376F">
      <w:pPr>
        <w:jc w:val="both"/>
        <w:rPr>
          <w:rFonts w:ascii="Arial" w:hAnsi="Arial" w:cs="Arial"/>
          <w:color w:val="002060"/>
          <w:sz w:val="20"/>
          <w:szCs w:val="20"/>
        </w:rPr>
      </w:pPr>
      <w:r>
        <w:rPr>
          <w:rFonts w:ascii="Arial" w:hAnsi="Arial" w:cs="Arial"/>
          <w:color w:val="002060"/>
          <w:sz w:val="20"/>
          <w:szCs w:val="20"/>
        </w:rPr>
        <w:t xml:space="preserve">L’estructura financera de Laboratoris Hipra està constituïda amb </w:t>
      </w:r>
      <w:r w:rsidR="000468A0">
        <w:rPr>
          <w:rFonts w:ascii="Arial" w:hAnsi="Arial" w:cs="Arial"/>
          <w:color w:val="002060"/>
          <w:sz w:val="20"/>
          <w:szCs w:val="20"/>
        </w:rPr>
        <w:t>fons propis que representen un</w:t>
      </w:r>
      <w:r>
        <w:rPr>
          <w:rFonts w:ascii="Arial" w:hAnsi="Arial" w:cs="Arial"/>
          <w:color w:val="002060"/>
          <w:sz w:val="20"/>
          <w:szCs w:val="20"/>
        </w:rPr>
        <w:t xml:space="preserve"> 70-75% </w:t>
      </w:r>
      <w:r w:rsidR="000468A0">
        <w:rPr>
          <w:rFonts w:ascii="Arial" w:hAnsi="Arial" w:cs="Arial"/>
          <w:color w:val="002060"/>
          <w:sz w:val="20"/>
          <w:szCs w:val="20"/>
        </w:rPr>
        <w:t>de la seva totalitat. T</w:t>
      </w:r>
      <w:r>
        <w:rPr>
          <w:rFonts w:ascii="Arial" w:hAnsi="Arial" w:cs="Arial"/>
          <w:color w:val="002060"/>
          <w:sz w:val="20"/>
          <w:szCs w:val="20"/>
        </w:rPr>
        <w:t>é molt poc endeutament, al voltant del 20% a curt termini i entre 4-8%</w:t>
      </w:r>
      <w:r w:rsidR="00B5250F">
        <w:rPr>
          <w:rFonts w:ascii="Arial" w:hAnsi="Arial" w:cs="Arial"/>
          <w:color w:val="002060"/>
          <w:sz w:val="20"/>
          <w:szCs w:val="20"/>
        </w:rPr>
        <w:t xml:space="preserve"> </w:t>
      </w:r>
      <w:r>
        <w:rPr>
          <w:rFonts w:ascii="Arial" w:hAnsi="Arial" w:cs="Arial"/>
          <w:color w:val="002060"/>
          <w:sz w:val="20"/>
          <w:szCs w:val="20"/>
        </w:rPr>
        <w:t xml:space="preserve">a llarg termini. L’empresa en aquest sentit gaudeix d’estabilitat i </w:t>
      </w:r>
      <w:r w:rsidR="000468A0">
        <w:rPr>
          <w:rFonts w:ascii="Arial" w:hAnsi="Arial" w:cs="Arial"/>
          <w:color w:val="002060"/>
          <w:sz w:val="20"/>
          <w:szCs w:val="20"/>
        </w:rPr>
        <w:t xml:space="preserve">disposa d’una àmplia </w:t>
      </w:r>
      <w:r w:rsidR="00B5250F">
        <w:rPr>
          <w:rFonts w:ascii="Arial" w:hAnsi="Arial" w:cs="Arial"/>
          <w:color w:val="002060"/>
          <w:sz w:val="20"/>
          <w:szCs w:val="20"/>
        </w:rPr>
        <w:t>capacitat</w:t>
      </w:r>
      <w:r>
        <w:rPr>
          <w:rFonts w:ascii="Arial" w:hAnsi="Arial" w:cs="Arial"/>
          <w:color w:val="002060"/>
          <w:sz w:val="20"/>
          <w:szCs w:val="20"/>
        </w:rPr>
        <w:t xml:space="preserve"> d’endeutament.</w:t>
      </w:r>
    </w:p>
    <w:p w:rsidR="00B5250F" w:rsidRDefault="00B5250F" w:rsidP="0036376F">
      <w:pPr>
        <w:jc w:val="both"/>
        <w:rPr>
          <w:rFonts w:ascii="Arial" w:hAnsi="Arial" w:cs="Arial"/>
          <w:color w:val="002060"/>
          <w:sz w:val="20"/>
          <w:szCs w:val="20"/>
        </w:rPr>
      </w:pPr>
    </w:p>
    <w:p w:rsidR="00B5250F" w:rsidRDefault="00B5250F" w:rsidP="0036376F">
      <w:pPr>
        <w:jc w:val="both"/>
        <w:rPr>
          <w:rFonts w:ascii="Arial" w:hAnsi="Arial" w:cs="Arial"/>
          <w:color w:val="002060"/>
          <w:sz w:val="20"/>
          <w:szCs w:val="20"/>
        </w:rPr>
      </w:pPr>
      <w:r>
        <w:rPr>
          <w:rFonts w:ascii="Arial" w:hAnsi="Arial" w:cs="Arial"/>
          <w:color w:val="002060"/>
          <w:sz w:val="20"/>
          <w:szCs w:val="20"/>
        </w:rPr>
        <w:t>La liquiditat de l’empresa encara que es manté amb valors teòricament òptims</w:t>
      </w:r>
      <w:r w:rsidR="00D60ABF">
        <w:rPr>
          <w:rFonts w:ascii="Arial" w:hAnsi="Arial" w:cs="Arial"/>
          <w:color w:val="002060"/>
          <w:sz w:val="20"/>
          <w:szCs w:val="20"/>
        </w:rPr>
        <w:t xml:space="preserve"> i lleugerament per sobre la mitjana sectorial tot i que</w:t>
      </w:r>
      <w:r>
        <w:rPr>
          <w:rFonts w:ascii="Arial" w:hAnsi="Arial" w:cs="Arial"/>
          <w:color w:val="002060"/>
          <w:sz w:val="20"/>
          <w:szCs w:val="20"/>
        </w:rPr>
        <w:t xml:space="preserve"> ha anat minvant durant el període</w:t>
      </w:r>
      <w:r w:rsidR="00D60ABF">
        <w:rPr>
          <w:rFonts w:ascii="Arial" w:hAnsi="Arial" w:cs="Arial"/>
          <w:color w:val="002060"/>
          <w:sz w:val="20"/>
          <w:szCs w:val="20"/>
        </w:rPr>
        <w:t xml:space="preserve"> analitzat.</w:t>
      </w:r>
      <w:r>
        <w:rPr>
          <w:rFonts w:ascii="Arial" w:hAnsi="Arial" w:cs="Arial"/>
          <w:color w:val="002060"/>
          <w:sz w:val="20"/>
          <w:szCs w:val="20"/>
        </w:rPr>
        <w:t xml:space="preserve"> </w:t>
      </w:r>
      <w:r w:rsidR="00D60ABF">
        <w:rPr>
          <w:rFonts w:ascii="Arial" w:hAnsi="Arial" w:cs="Arial"/>
          <w:color w:val="002060"/>
          <w:sz w:val="20"/>
          <w:szCs w:val="20"/>
        </w:rPr>
        <w:t>D</w:t>
      </w:r>
      <w:r>
        <w:rPr>
          <w:rFonts w:ascii="Arial" w:hAnsi="Arial" w:cs="Arial"/>
          <w:color w:val="002060"/>
          <w:sz w:val="20"/>
          <w:szCs w:val="20"/>
        </w:rPr>
        <w:t>e fet</w:t>
      </w:r>
      <w:r w:rsidR="00D60ABF">
        <w:rPr>
          <w:rFonts w:ascii="Arial" w:hAnsi="Arial" w:cs="Arial"/>
          <w:color w:val="002060"/>
          <w:sz w:val="20"/>
          <w:szCs w:val="20"/>
        </w:rPr>
        <w:t>,</w:t>
      </w:r>
      <w:r>
        <w:rPr>
          <w:rFonts w:ascii="Arial" w:hAnsi="Arial" w:cs="Arial"/>
          <w:color w:val="002060"/>
          <w:sz w:val="20"/>
          <w:szCs w:val="20"/>
        </w:rPr>
        <w:t xml:space="preserve"> com s’observa a l’EFE, a partir de l’any 2018 incrementa la seva tresoreria per mitjà de deute amb entitats de crèdit. La liquiditat de l’empresa </w:t>
      </w:r>
      <w:r w:rsidR="000468A0">
        <w:rPr>
          <w:rFonts w:ascii="Arial" w:hAnsi="Arial" w:cs="Arial"/>
          <w:color w:val="002060"/>
          <w:sz w:val="20"/>
          <w:szCs w:val="20"/>
        </w:rPr>
        <w:t>es veu</w:t>
      </w:r>
      <w:r>
        <w:rPr>
          <w:rFonts w:ascii="Arial" w:hAnsi="Arial" w:cs="Arial"/>
          <w:color w:val="002060"/>
          <w:sz w:val="20"/>
          <w:szCs w:val="20"/>
        </w:rPr>
        <w:t xml:space="preserve"> condicionada </w:t>
      </w:r>
      <w:r w:rsidR="000468A0">
        <w:rPr>
          <w:rFonts w:ascii="Arial" w:hAnsi="Arial" w:cs="Arial"/>
          <w:color w:val="002060"/>
          <w:sz w:val="20"/>
          <w:szCs w:val="20"/>
        </w:rPr>
        <w:t>pe</w:t>
      </w:r>
      <w:r>
        <w:rPr>
          <w:rFonts w:ascii="Arial" w:hAnsi="Arial" w:cs="Arial"/>
          <w:color w:val="002060"/>
          <w:sz w:val="20"/>
          <w:szCs w:val="20"/>
        </w:rPr>
        <w:t>l seu volum de negoci (que va a l’alça), els tipus de canvi respecte el dòlar, i les necessitats operatives de fons que s’incrementen</w:t>
      </w:r>
      <w:r w:rsidR="00D60ABF">
        <w:rPr>
          <w:rFonts w:ascii="Arial" w:hAnsi="Arial" w:cs="Arial"/>
          <w:color w:val="002060"/>
          <w:sz w:val="20"/>
          <w:szCs w:val="20"/>
        </w:rPr>
        <w:t xml:space="preserve"> significativament</w:t>
      </w:r>
      <w:r>
        <w:rPr>
          <w:rFonts w:ascii="Arial" w:hAnsi="Arial" w:cs="Arial"/>
          <w:color w:val="002060"/>
          <w:sz w:val="20"/>
          <w:szCs w:val="20"/>
        </w:rPr>
        <w:t xml:space="preserve"> l’exercici 2019</w:t>
      </w:r>
      <w:r w:rsidR="00D60ABF">
        <w:rPr>
          <w:rFonts w:ascii="Arial" w:hAnsi="Arial" w:cs="Arial"/>
          <w:color w:val="002060"/>
          <w:sz w:val="20"/>
          <w:szCs w:val="20"/>
        </w:rPr>
        <w:t xml:space="preserve"> ja</w:t>
      </w:r>
      <w:r>
        <w:rPr>
          <w:rFonts w:ascii="Arial" w:hAnsi="Arial" w:cs="Arial"/>
          <w:color w:val="002060"/>
          <w:sz w:val="20"/>
          <w:szCs w:val="20"/>
        </w:rPr>
        <w:t xml:space="preserve"> que </w:t>
      </w:r>
      <w:r w:rsidR="00D60ABF">
        <w:rPr>
          <w:rFonts w:ascii="Arial" w:hAnsi="Arial" w:cs="Arial"/>
          <w:color w:val="002060"/>
          <w:sz w:val="20"/>
          <w:szCs w:val="20"/>
        </w:rPr>
        <w:t xml:space="preserve">malgrat </w:t>
      </w:r>
      <w:r>
        <w:rPr>
          <w:rFonts w:ascii="Arial" w:hAnsi="Arial" w:cs="Arial"/>
          <w:color w:val="002060"/>
          <w:sz w:val="20"/>
          <w:szCs w:val="20"/>
        </w:rPr>
        <w:t>l’empresa redueix el temps a cobrar</w:t>
      </w:r>
      <w:r w:rsidR="00D60ABF">
        <w:rPr>
          <w:rFonts w:ascii="Arial" w:hAnsi="Arial" w:cs="Arial"/>
          <w:color w:val="002060"/>
          <w:sz w:val="20"/>
          <w:szCs w:val="20"/>
        </w:rPr>
        <w:t>, aquest</w:t>
      </w:r>
      <w:r>
        <w:rPr>
          <w:rFonts w:ascii="Arial" w:hAnsi="Arial" w:cs="Arial"/>
          <w:color w:val="002060"/>
          <w:sz w:val="20"/>
          <w:szCs w:val="20"/>
        </w:rPr>
        <w:t xml:space="preserve"> no és suficient per compensar l’increment en dies necessaris per alienar les existències i la disminució del temps que triga l’empresa a pagar.</w:t>
      </w:r>
    </w:p>
    <w:p w:rsidR="00D60ABF" w:rsidRDefault="00D60ABF" w:rsidP="0036376F">
      <w:pPr>
        <w:jc w:val="both"/>
        <w:rPr>
          <w:rFonts w:ascii="Arial" w:hAnsi="Arial" w:cs="Arial"/>
          <w:color w:val="002060"/>
          <w:sz w:val="20"/>
          <w:szCs w:val="20"/>
        </w:rPr>
      </w:pPr>
    </w:p>
    <w:p w:rsidR="00D60ABF" w:rsidRDefault="00D60ABF" w:rsidP="0036376F">
      <w:pPr>
        <w:jc w:val="both"/>
        <w:rPr>
          <w:rFonts w:ascii="Arial" w:hAnsi="Arial" w:cs="Arial"/>
          <w:color w:val="002060"/>
          <w:sz w:val="20"/>
          <w:szCs w:val="20"/>
        </w:rPr>
      </w:pPr>
      <w:r>
        <w:rPr>
          <w:rFonts w:ascii="Arial" w:hAnsi="Arial" w:cs="Arial"/>
          <w:color w:val="002060"/>
          <w:sz w:val="20"/>
          <w:szCs w:val="20"/>
        </w:rPr>
        <w:t xml:space="preserve">La rendibilitat econòmica de Hipra -amb percentatges entre el 14 i 19%- és la segona millor entre les empreses del sector analitzades durant el període comprès entre 2015-2019 i es troba per damunt de la mitjana sectorial. A partir de l’exercici 2017 tendeix la rendibilitat a </w:t>
      </w:r>
      <w:r w:rsidR="00B80FAD">
        <w:rPr>
          <w:rFonts w:ascii="Arial" w:hAnsi="Arial" w:cs="Arial"/>
          <w:color w:val="002060"/>
          <w:sz w:val="20"/>
          <w:szCs w:val="20"/>
        </w:rPr>
        <w:t>disminuir</w:t>
      </w:r>
      <w:r>
        <w:rPr>
          <w:rFonts w:ascii="Arial" w:hAnsi="Arial" w:cs="Arial"/>
          <w:color w:val="002060"/>
          <w:sz w:val="20"/>
          <w:szCs w:val="20"/>
        </w:rPr>
        <w:t xml:space="preserve">, un comportament que també descriu la mitjana sectorial, però que situant el focus en la pròpia empresa i </w:t>
      </w:r>
      <w:r w:rsidR="00B80FAD">
        <w:rPr>
          <w:rFonts w:ascii="Arial" w:hAnsi="Arial" w:cs="Arial"/>
          <w:color w:val="002060"/>
          <w:sz w:val="20"/>
          <w:szCs w:val="20"/>
        </w:rPr>
        <w:t>descomponent-ne</w:t>
      </w:r>
      <w:r>
        <w:rPr>
          <w:rFonts w:ascii="Arial" w:hAnsi="Arial" w:cs="Arial"/>
          <w:color w:val="002060"/>
          <w:sz w:val="20"/>
          <w:szCs w:val="20"/>
        </w:rPr>
        <w:t xml:space="preserve"> els factors que determinen la </w:t>
      </w:r>
      <w:r w:rsidR="00B80FAD">
        <w:rPr>
          <w:rFonts w:ascii="Arial" w:hAnsi="Arial" w:cs="Arial"/>
          <w:color w:val="002060"/>
          <w:sz w:val="20"/>
          <w:szCs w:val="20"/>
        </w:rPr>
        <w:t>rendibilitat</w:t>
      </w:r>
      <w:r>
        <w:rPr>
          <w:rFonts w:ascii="Arial" w:hAnsi="Arial" w:cs="Arial"/>
          <w:color w:val="002060"/>
          <w:sz w:val="20"/>
          <w:szCs w:val="20"/>
        </w:rPr>
        <w:t xml:space="preserve">, s’observa una disminució de la rotació de l’actiu </w:t>
      </w:r>
      <w:r w:rsidR="000468A0">
        <w:rPr>
          <w:rFonts w:ascii="Arial" w:hAnsi="Arial" w:cs="Arial"/>
          <w:color w:val="002060"/>
          <w:sz w:val="20"/>
          <w:szCs w:val="20"/>
        </w:rPr>
        <w:t>atribuïble</w:t>
      </w:r>
      <w:r>
        <w:rPr>
          <w:rFonts w:ascii="Arial" w:hAnsi="Arial" w:cs="Arial"/>
          <w:color w:val="002060"/>
          <w:sz w:val="20"/>
          <w:szCs w:val="20"/>
        </w:rPr>
        <w:t xml:space="preserve"> </w:t>
      </w:r>
      <w:r w:rsidR="000468A0">
        <w:rPr>
          <w:rFonts w:ascii="Arial" w:hAnsi="Arial" w:cs="Arial"/>
          <w:color w:val="002060"/>
          <w:sz w:val="20"/>
          <w:szCs w:val="20"/>
        </w:rPr>
        <w:t>a</w:t>
      </w:r>
      <w:r>
        <w:rPr>
          <w:rFonts w:ascii="Arial" w:hAnsi="Arial" w:cs="Arial"/>
          <w:color w:val="002060"/>
          <w:sz w:val="20"/>
          <w:szCs w:val="20"/>
        </w:rPr>
        <w:t xml:space="preserve"> ineficiències (una disminució de la capacitat dels actius per generar beneficis). </w:t>
      </w:r>
      <w:r w:rsidR="000468A0">
        <w:rPr>
          <w:rFonts w:ascii="Arial" w:hAnsi="Arial" w:cs="Arial"/>
          <w:color w:val="002060"/>
          <w:sz w:val="20"/>
          <w:szCs w:val="20"/>
        </w:rPr>
        <w:t>No</w:t>
      </w:r>
      <w:r>
        <w:rPr>
          <w:rFonts w:ascii="Arial" w:hAnsi="Arial" w:cs="Arial"/>
          <w:color w:val="002060"/>
          <w:sz w:val="20"/>
          <w:szCs w:val="20"/>
        </w:rPr>
        <w:t xml:space="preserve"> és un fet preocupant ja que el marge sobre vendes i la rotació dels actius es troben molt alineats amb la mitjana sectorial, no obstant atenent al compte de resultats hi trobem alguns detalls que permeten explicar el </w:t>
      </w:r>
      <w:r w:rsidR="000468A0">
        <w:rPr>
          <w:rFonts w:ascii="Arial" w:hAnsi="Arial" w:cs="Arial"/>
          <w:color w:val="002060"/>
          <w:sz w:val="20"/>
          <w:szCs w:val="20"/>
        </w:rPr>
        <w:t>motiu pel qual la</w:t>
      </w:r>
      <w:r>
        <w:rPr>
          <w:rFonts w:ascii="Arial" w:hAnsi="Arial" w:cs="Arial"/>
          <w:color w:val="002060"/>
          <w:sz w:val="20"/>
          <w:szCs w:val="20"/>
        </w:rPr>
        <w:t xml:space="preserve"> rotació dels actius ha anat minvat</w:t>
      </w:r>
      <w:r w:rsidR="000468A0">
        <w:rPr>
          <w:rFonts w:ascii="Arial" w:hAnsi="Arial" w:cs="Arial"/>
          <w:color w:val="002060"/>
          <w:sz w:val="20"/>
          <w:szCs w:val="20"/>
        </w:rPr>
        <w:t>:</w:t>
      </w:r>
      <w:r>
        <w:rPr>
          <w:rFonts w:ascii="Arial" w:hAnsi="Arial" w:cs="Arial"/>
          <w:color w:val="002060"/>
          <w:sz w:val="20"/>
          <w:szCs w:val="20"/>
        </w:rPr>
        <w:t xml:space="preserve"> </w:t>
      </w:r>
      <w:r w:rsidR="000468A0">
        <w:rPr>
          <w:rFonts w:ascii="Arial" w:hAnsi="Arial" w:cs="Arial"/>
          <w:color w:val="002060"/>
          <w:sz w:val="20"/>
          <w:szCs w:val="20"/>
        </w:rPr>
        <w:t>l</w:t>
      </w:r>
      <w:r>
        <w:rPr>
          <w:rFonts w:ascii="Arial" w:hAnsi="Arial" w:cs="Arial"/>
          <w:color w:val="002060"/>
          <w:sz w:val="20"/>
          <w:szCs w:val="20"/>
        </w:rPr>
        <w:t xml:space="preserve">’amortització de l’immobilitzat material ha augmentat significativament com també ho han fet les despeses de personal, això fa pensar que l’empresa està </w:t>
      </w:r>
      <w:r w:rsidR="000468A0">
        <w:rPr>
          <w:rFonts w:ascii="Arial" w:hAnsi="Arial" w:cs="Arial"/>
          <w:color w:val="002060"/>
          <w:sz w:val="20"/>
          <w:szCs w:val="20"/>
        </w:rPr>
        <w:t xml:space="preserve">immersa en un procés de creixement </w:t>
      </w:r>
      <w:r>
        <w:rPr>
          <w:rFonts w:ascii="Arial" w:hAnsi="Arial" w:cs="Arial"/>
          <w:color w:val="002060"/>
          <w:sz w:val="20"/>
          <w:szCs w:val="20"/>
        </w:rPr>
        <w:t xml:space="preserve">invertint en actius a llarg termini (tals com noves instal·lacions i maquinària) i a la vegada augmentant de la plantilla. Tenint en compte les característiques de l’activitat de Laboratoris Hipra és probable que es requereixi un temps d’adequació perquè aquests recursos puguin rendir a nivells òptims. </w:t>
      </w:r>
    </w:p>
    <w:p w:rsidR="00B5250F" w:rsidRDefault="00B5250F" w:rsidP="0036376F">
      <w:pPr>
        <w:jc w:val="both"/>
        <w:rPr>
          <w:rFonts w:ascii="Arial" w:hAnsi="Arial" w:cs="Arial"/>
          <w:color w:val="002060"/>
          <w:sz w:val="20"/>
          <w:szCs w:val="20"/>
        </w:rPr>
      </w:pPr>
    </w:p>
    <w:p w:rsidR="00B5250F" w:rsidRDefault="00D60ABF" w:rsidP="0036376F">
      <w:pPr>
        <w:jc w:val="both"/>
        <w:rPr>
          <w:rFonts w:ascii="Arial" w:hAnsi="Arial" w:cs="Arial"/>
          <w:color w:val="002060"/>
          <w:sz w:val="20"/>
          <w:szCs w:val="20"/>
        </w:rPr>
      </w:pPr>
      <w:r>
        <w:rPr>
          <w:rFonts w:ascii="Arial" w:hAnsi="Arial" w:cs="Arial"/>
          <w:color w:val="002060"/>
          <w:sz w:val="20"/>
          <w:szCs w:val="20"/>
        </w:rPr>
        <w:t xml:space="preserve">La rendibilitat financera en tots el període analitzat es troba entre 2-3 punts percentuals per sobre de la rendibilitat econòmica perquè l’empresa està capitalitzada majoritàriament amb fons propis infrautilitzant l’endeutament. Aquests valors són molt inferiors als de la mitjana sectorial on predominen les empreses que cotitzen a mercats </w:t>
      </w:r>
      <w:r w:rsidR="006012D2">
        <w:rPr>
          <w:rFonts w:ascii="Arial" w:hAnsi="Arial" w:cs="Arial"/>
          <w:color w:val="002060"/>
          <w:sz w:val="20"/>
          <w:szCs w:val="20"/>
        </w:rPr>
        <w:t>borsaris</w:t>
      </w:r>
      <w:r>
        <w:rPr>
          <w:rFonts w:ascii="Arial" w:hAnsi="Arial" w:cs="Arial"/>
          <w:color w:val="002060"/>
          <w:sz w:val="20"/>
          <w:szCs w:val="20"/>
        </w:rPr>
        <w:t xml:space="preserve"> sent els accionistes molt exigents a l´hora de maximitzar el retorn de les seves inversions.</w:t>
      </w:r>
    </w:p>
    <w:p w:rsidR="00B5250F" w:rsidRDefault="00B5250F" w:rsidP="0036376F">
      <w:pPr>
        <w:jc w:val="both"/>
        <w:rPr>
          <w:rFonts w:ascii="Arial" w:hAnsi="Arial" w:cs="Arial"/>
          <w:color w:val="002060"/>
          <w:sz w:val="20"/>
          <w:szCs w:val="20"/>
        </w:rPr>
      </w:pPr>
    </w:p>
    <w:p w:rsidR="00B5250F" w:rsidRDefault="00B5250F" w:rsidP="0036376F">
      <w:pPr>
        <w:jc w:val="both"/>
        <w:rPr>
          <w:rFonts w:ascii="Arial" w:hAnsi="Arial" w:cs="Arial"/>
          <w:color w:val="002060"/>
          <w:sz w:val="20"/>
          <w:szCs w:val="20"/>
        </w:rPr>
      </w:pPr>
    </w:p>
    <w:p w:rsidR="00B5250F" w:rsidRDefault="00B5250F" w:rsidP="0036376F">
      <w:pPr>
        <w:jc w:val="both"/>
        <w:rPr>
          <w:rFonts w:ascii="Arial" w:hAnsi="Arial" w:cs="Arial"/>
          <w:color w:val="002060"/>
          <w:sz w:val="20"/>
          <w:szCs w:val="20"/>
        </w:rPr>
      </w:pPr>
    </w:p>
    <w:p w:rsidR="00B5250F" w:rsidRDefault="00B5250F" w:rsidP="0036376F">
      <w:pPr>
        <w:jc w:val="both"/>
        <w:rPr>
          <w:rFonts w:ascii="Arial" w:hAnsi="Arial" w:cs="Arial"/>
          <w:color w:val="002060"/>
          <w:sz w:val="20"/>
          <w:szCs w:val="20"/>
        </w:rPr>
      </w:pPr>
    </w:p>
    <w:p w:rsidR="0036376F" w:rsidRDefault="0036376F" w:rsidP="0036376F">
      <w:pPr>
        <w:jc w:val="both"/>
        <w:rPr>
          <w:rFonts w:ascii="Arial" w:hAnsi="Arial" w:cs="Arial"/>
          <w:color w:val="002060"/>
          <w:sz w:val="20"/>
          <w:szCs w:val="20"/>
        </w:rPr>
      </w:pPr>
    </w:p>
    <w:p w:rsidR="0036376F" w:rsidRDefault="0036376F" w:rsidP="0036376F">
      <w:pPr>
        <w:jc w:val="both"/>
        <w:rPr>
          <w:rFonts w:ascii="Arial" w:hAnsi="Arial" w:cs="Arial"/>
          <w:color w:val="002060"/>
          <w:sz w:val="20"/>
          <w:szCs w:val="20"/>
        </w:rPr>
      </w:pPr>
    </w:p>
    <w:p w:rsidR="0036376F" w:rsidRDefault="0036376F" w:rsidP="0036376F">
      <w:pPr>
        <w:jc w:val="both"/>
        <w:rPr>
          <w:rFonts w:ascii="Arial" w:hAnsi="Arial" w:cs="Arial"/>
          <w:color w:val="002060"/>
          <w:sz w:val="20"/>
          <w:szCs w:val="20"/>
        </w:rPr>
      </w:pPr>
    </w:p>
    <w:p w:rsidR="0036376F" w:rsidRPr="0036376F" w:rsidRDefault="0036376F" w:rsidP="0036376F">
      <w:pPr>
        <w:jc w:val="both"/>
        <w:rPr>
          <w:rFonts w:ascii="Arial" w:hAnsi="Arial" w:cs="Arial"/>
          <w:color w:val="002060"/>
          <w:sz w:val="20"/>
          <w:szCs w:val="20"/>
        </w:rPr>
      </w:pPr>
    </w:p>
    <w:p w:rsidR="0036376F" w:rsidRPr="0036376F" w:rsidRDefault="0036376F" w:rsidP="0036376F">
      <w:pPr>
        <w:jc w:val="both"/>
        <w:rPr>
          <w:rFonts w:ascii="Arial" w:hAnsi="Arial" w:cs="Arial"/>
          <w:color w:val="002060"/>
          <w:sz w:val="20"/>
          <w:szCs w:val="20"/>
        </w:rPr>
      </w:pPr>
      <w:r w:rsidRPr="0036376F">
        <w:rPr>
          <w:rFonts w:ascii="Arial" w:hAnsi="Arial" w:cs="Arial"/>
          <w:color w:val="002060"/>
          <w:sz w:val="20"/>
          <w:szCs w:val="20"/>
        </w:rPr>
        <w:t xml:space="preserve"> </w:t>
      </w:r>
    </w:p>
    <w:p w:rsidR="0036376F" w:rsidRPr="0036376F" w:rsidRDefault="0036376F" w:rsidP="0036376F">
      <w:pPr>
        <w:jc w:val="both"/>
        <w:rPr>
          <w:rFonts w:ascii="Arial" w:hAnsi="Arial" w:cs="Arial"/>
          <w:color w:val="00206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6"/>
      </w:tblGrid>
      <w:tr w:rsidR="00F87F4B" w:rsidTr="00F87F4B">
        <w:tc>
          <w:tcPr>
            <w:tcW w:w="4505" w:type="dxa"/>
            <w:vMerge w:val="restart"/>
          </w:tcPr>
          <w:p w:rsidR="00F87F4B" w:rsidRDefault="00F87F4B" w:rsidP="00B80FAD">
            <w:pPr>
              <w:jc w:val="both"/>
              <w:rPr>
                <w:rFonts w:ascii="Arial" w:hAnsi="Arial" w:cs="Arial"/>
                <w:color w:val="002060"/>
                <w:sz w:val="20"/>
                <w:szCs w:val="20"/>
              </w:rPr>
            </w:pPr>
            <w:r>
              <w:rPr>
                <w:rFonts w:ascii="Arial" w:hAnsi="Arial" w:cs="Arial"/>
                <w:color w:val="002060"/>
                <w:sz w:val="20"/>
                <w:szCs w:val="20"/>
              </w:rPr>
              <w:t>Donant resposta de manera breu i concisa, es conclou que Laboratoris Hipra és capaç de créixer perquè té una bona estratègia vertebrada en la diferenciació per mitjà de l’especialització en investigació, desenvolupament, producció i comercialització a nivell internacional de vacunes per animals de producció, i suportada per una bona situació patrimonial i financera (solvent, estable, amb poc deute), i acompanyada de bons resultats econòmics.</w:t>
            </w:r>
          </w:p>
          <w:p w:rsidR="00F87F4B" w:rsidRDefault="00F87F4B" w:rsidP="0036376F">
            <w:pPr>
              <w:jc w:val="both"/>
              <w:rPr>
                <w:rFonts w:ascii="Arial" w:hAnsi="Arial" w:cs="Arial"/>
                <w:color w:val="002060"/>
                <w:sz w:val="20"/>
                <w:szCs w:val="20"/>
              </w:rPr>
            </w:pPr>
          </w:p>
        </w:tc>
        <w:tc>
          <w:tcPr>
            <w:tcW w:w="4506" w:type="dxa"/>
          </w:tcPr>
          <w:p w:rsidR="00F87F4B" w:rsidRPr="00F87F4B" w:rsidRDefault="00F87F4B" w:rsidP="0036376F">
            <w:pPr>
              <w:jc w:val="both"/>
              <w:rPr>
                <w:rFonts w:ascii="Arial" w:hAnsi="Arial" w:cs="Arial"/>
                <w:noProof/>
                <w:color w:val="002060"/>
                <w:sz w:val="20"/>
                <w:szCs w:val="20"/>
              </w:rPr>
            </w:pPr>
            <w:r>
              <w:rPr>
                <w:rFonts w:ascii="Arial" w:hAnsi="Arial" w:cs="Arial"/>
                <w:noProof/>
                <w:color w:val="002060"/>
                <w:sz w:val="20"/>
                <w:szCs w:val="20"/>
              </w:rPr>
              <w:t>Gràfic 4.2 Factors clau en l’èxit de Hipra</w:t>
            </w:r>
          </w:p>
        </w:tc>
      </w:tr>
      <w:tr w:rsidR="00F87F4B" w:rsidTr="00F87F4B">
        <w:tc>
          <w:tcPr>
            <w:tcW w:w="4505" w:type="dxa"/>
            <w:vMerge/>
          </w:tcPr>
          <w:p w:rsidR="00F87F4B" w:rsidRDefault="00F87F4B" w:rsidP="0036376F">
            <w:pPr>
              <w:jc w:val="both"/>
              <w:rPr>
                <w:rFonts w:ascii="Arial" w:hAnsi="Arial" w:cs="Arial"/>
                <w:color w:val="002060"/>
              </w:rPr>
            </w:pPr>
          </w:p>
        </w:tc>
        <w:tc>
          <w:tcPr>
            <w:tcW w:w="4506" w:type="dxa"/>
          </w:tcPr>
          <w:p w:rsidR="00F87F4B" w:rsidRDefault="00F87F4B" w:rsidP="0036376F">
            <w:pPr>
              <w:jc w:val="both"/>
              <w:rPr>
                <w:rFonts w:ascii="Arial" w:hAnsi="Arial" w:cs="Arial"/>
                <w:color w:val="002060"/>
              </w:rPr>
            </w:pPr>
            <w:r>
              <w:rPr>
                <w:rFonts w:ascii="Arial" w:hAnsi="Arial" w:cs="Arial"/>
                <w:noProof/>
                <w:color w:val="002060"/>
                <w:sz w:val="20"/>
                <w:szCs w:val="20"/>
              </w:rPr>
              <w:drawing>
                <wp:inline distT="0" distB="0" distL="0" distR="0" wp14:anchorId="47BBB513" wp14:editId="071E6522">
                  <wp:extent cx="2701069" cy="1669774"/>
                  <wp:effectExtent l="0" t="38100" r="4445" b="70485"/>
                  <wp:docPr id="29" name="Diagrama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tc>
      </w:tr>
      <w:tr w:rsidR="00F87F4B" w:rsidTr="00F87F4B">
        <w:tc>
          <w:tcPr>
            <w:tcW w:w="4505" w:type="dxa"/>
            <w:vMerge/>
          </w:tcPr>
          <w:p w:rsidR="00F87F4B" w:rsidRDefault="00F87F4B" w:rsidP="0036376F">
            <w:pPr>
              <w:jc w:val="both"/>
              <w:rPr>
                <w:rFonts w:ascii="Arial" w:hAnsi="Arial" w:cs="Arial"/>
                <w:color w:val="002060"/>
              </w:rPr>
            </w:pPr>
          </w:p>
        </w:tc>
        <w:tc>
          <w:tcPr>
            <w:tcW w:w="4506" w:type="dxa"/>
          </w:tcPr>
          <w:p w:rsidR="00F87F4B" w:rsidRPr="00F87F4B" w:rsidRDefault="00F87F4B" w:rsidP="0036376F">
            <w:pPr>
              <w:jc w:val="both"/>
              <w:rPr>
                <w:rFonts w:ascii="Arial" w:hAnsi="Arial" w:cs="Arial"/>
                <w:color w:val="002060"/>
                <w:sz w:val="14"/>
                <w:szCs w:val="14"/>
              </w:rPr>
            </w:pPr>
            <w:r w:rsidRPr="00F87F4B">
              <w:rPr>
                <w:rFonts w:ascii="Arial" w:hAnsi="Arial" w:cs="Arial"/>
                <w:color w:val="002060"/>
                <w:sz w:val="14"/>
                <w:szCs w:val="14"/>
              </w:rPr>
              <w:t>Font: elaboració pròpia</w:t>
            </w:r>
          </w:p>
        </w:tc>
      </w:tr>
    </w:tbl>
    <w:p w:rsidR="001D6BE4" w:rsidRDefault="001D6BE4" w:rsidP="0036376F">
      <w:pPr>
        <w:jc w:val="both"/>
        <w:rPr>
          <w:color w:val="002060"/>
        </w:rPr>
      </w:pPr>
    </w:p>
    <w:p w:rsidR="001D6BE4" w:rsidRPr="00F51F5F" w:rsidRDefault="00F51F5F" w:rsidP="001D6BE4">
      <w:pPr>
        <w:jc w:val="both"/>
        <w:rPr>
          <w:rFonts w:ascii="Arial" w:hAnsi="Arial" w:cs="Arial"/>
          <w:b/>
          <w:color w:val="000361"/>
          <w:sz w:val="20"/>
          <w:szCs w:val="20"/>
        </w:rPr>
      </w:pPr>
      <w:r w:rsidRPr="00F51F5F">
        <w:rPr>
          <w:rFonts w:ascii="Arial" w:hAnsi="Arial" w:cs="Arial"/>
          <w:b/>
          <w:color w:val="000361"/>
          <w:sz w:val="20"/>
          <w:szCs w:val="20"/>
        </w:rPr>
        <w:t xml:space="preserve">PERSPECTIVES FUTURES I </w:t>
      </w:r>
      <w:r w:rsidR="001D6BE4" w:rsidRPr="00F51F5F">
        <w:rPr>
          <w:rFonts w:ascii="Arial" w:hAnsi="Arial" w:cs="Arial"/>
          <w:b/>
          <w:color w:val="000361"/>
          <w:sz w:val="20"/>
          <w:szCs w:val="20"/>
        </w:rPr>
        <w:t>RECOMANACIONS</w:t>
      </w:r>
    </w:p>
    <w:p w:rsidR="001D6BE4" w:rsidRPr="00F51F5F" w:rsidRDefault="001D6BE4" w:rsidP="0036376F">
      <w:pPr>
        <w:jc w:val="both"/>
        <w:rPr>
          <w:rFonts w:ascii="Arial" w:hAnsi="Arial" w:cs="Arial"/>
          <w:color w:val="002060"/>
          <w:sz w:val="20"/>
          <w:szCs w:val="20"/>
        </w:rPr>
      </w:pPr>
    </w:p>
    <w:p w:rsidR="001D6BE4" w:rsidRPr="00F51F5F" w:rsidRDefault="00F51F5F" w:rsidP="0036376F">
      <w:pPr>
        <w:jc w:val="both"/>
        <w:rPr>
          <w:rFonts w:ascii="Arial" w:hAnsi="Arial" w:cs="Arial"/>
          <w:color w:val="002060"/>
          <w:sz w:val="20"/>
          <w:szCs w:val="20"/>
        </w:rPr>
      </w:pPr>
      <w:r w:rsidRPr="00F51F5F">
        <w:rPr>
          <w:rFonts w:ascii="Arial" w:hAnsi="Arial" w:cs="Arial"/>
          <w:color w:val="002060"/>
          <w:sz w:val="20"/>
          <w:szCs w:val="20"/>
        </w:rPr>
        <w:t xml:space="preserve">No hi ha motius per pensar que Laboratoris Hipra no pugui continuar creixent més enllà del període 2015-2019 -en el qual hem centrat l’anàlisi- i assoleixi un millor posicionament </w:t>
      </w:r>
      <w:r>
        <w:rPr>
          <w:rFonts w:ascii="Arial" w:hAnsi="Arial" w:cs="Arial"/>
          <w:color w:val="002060"/>
          <w:sz w:val="20"/>
          <w:szCs w:val="20"/>
        </w:rPr>
        <w:t>en el sector on desenvolupa la seva activitat.</w:t>
      </w:r>
    </w:p>
    <w:p w:rsidR="00F51F5F" w:rsidRPr="00F51F5F" w:rsidRDefault="00F51F5F" w:rsidP="0036376F">
      <w:pPr>
        <w:jc w:val="both"/>
        <w:rPr>
          <w:rFonts w:ascii="Arial" w:hAnsi="Arial" w:cs="Arial"/>
          <w:color w:val="002060"/>
          <w:sz w:val="20"/>
          <w:szCs w:val="20"/>
        </w:rPr>
      </w:pPr>
    </w:p>
    <w:p w:rsidR="00F51F5F" w:rsidRPr="00F51F5F" w:rsidRDefault="00F51F5F" w:rsidP="0036376F">
      <w:pPr>
        <w:jc w:val="both"/>
        <w:rPr>
          <w:rFonts w:ascii="Arial" w:hAnsi="Arial" w:cs="Arial"/>
          <w:color w:val="002060"/>
          <w:sz w:val="20"/>
          <w:szCs w:val="20"/>
        </w:rPr>
      </w:pPr>
      <w:r w:rsidRPr="00F51F5F">
        <w:rPr>
          <w:rFonts w:ascii="Arial" w:hAnsi="Arial" w:cs="Arial"/>
          <w:color w:val="002060"/>
          <w:sz w:val="20"/>
          <w:szCs w:val="20"/>
        </w:rPr>
        <w:t>Les recomanacions per afrontar el futur de la companyia s’elaboren mitjançant l’eina d’anàlisi CAME a partir de les fortaleses i debilitats internes, i les oportunitats i amenaces externes detectades i recollides prèviament en aquest estudi. Amb aquesta eina definirem estratègies per:</w:t>
      </w:r>
    </w:p>
    <w:p w:rsidR="00F51F5F" w:rsidRPr="00F51F5F" w:rsidRDefault="00F51F5F" w:rsidP="0036376F">
      <w:pPr>
        <w:jc w:val="both"/>
        <w:rPr>
          <w:rFonts w:ascii="Arial" w:hAnsi="Arial" w:cs="Arial"/>
          <w:color w:val="002060"/>
          <w:sz w:val="20"/>
          <w:szCs w:val="20"/>
        </w:rPr>
      </w:pPr>
    </w:p>
    <w:p w:rsidR="00F51F5F" w:rsidRPr="00F51F5F" w:rsidRDefault="00F51F5F" w:rsidP="0036376F">
      <w:pPr>
        <w:jc w:val="both"/>
        <w:rPr>
          <w:rFonts w:ascii="Arial" w:hAnsi="Arial" w:cs="Arial"/>
          <w:color w:val="002060"/>
          <w:sz w:val="20"/>
          <w:szCs w:val="20"/>
        </w:rPr>
      </w:pPr>
      <w:r w:rsidRPr="00F51F5F">
        <w:rPr>
          <w:rFonts w:ascii="Arial" w:hAnsi="Arial" w:cs="Arial"/>
          <w:color w:val="002060"/>
          <w:sz w:val="20"/>
          <w:szCs w:val="20"/>
        </w:rPr>
        <w:t xml:space="preserve">1- </w:t>
      </w:r>
      <w:r w:rsidRPr="00F51F5F">
        <w:rPr>
          <w:rFonts w:ascii="Arial" w:hAnsi="Arial" w:cs="Arial"/>
          <w:b/>
          <w:color w:val="002060"/>
          <w:sz w:val="20"/>
          <w:szCs w:val="20"/>
        </w:rPr>
        <w:t>C</w:t>
      </w:r>
      <w:r w:rsidRPr="00F51F5F">
        <w:rPr>
          <w:rFonts w:ascii="Arial" w:hAnsi="Arial" w:cs="Arial"/>
          <w:color w:val="002060"/>
          <w:sz w:val="20"/>
          <w:szCs w:val="20"/>
        </w:rPr>
        <w:t>orregir debilitats</w:t>
      </w:r>
    </w:p>
    <w:p w:rsidR="00F51F5F" w:rsidRPr="00F51F5F" w:rsidRDefault="00F51F5F" w:rsidP="0036376F">
      <w:pPr>
        <w:jc w:val="both"/>
        <w:rPr>
          <w:rFonts w:ascii="Arial" w:hAnsi="Arial" w:cs="Arial"/>
          <w:color w:val="002060"/>
          <w:sz w:val="20"/>
          <w:szCs w:val="20"/>
        </w:rPr>
      </w:pPr>
      <w:r w:rsidRPr="00F51F5F">
        <w:rPr>
          <w:rFonts w:ascii="Arial" w:hAnsi="Arial" w:cs="Arial"/>
          <w:color w:val="002060"/>
          <w:sz w:val="20"/>
          <w:szCs w:val="20"/>
        </w:rPr>
        <w:t xml:space="preserve">2- </w:t>
      </w:r>
      <w:r w:rsidRPr="00F51F5F">
        <w:rPr>
          <w:rFonts w:ascii="Arial" w:hAnsi="Arial" w:cs="Arial"/>
          <w:b/>
          <w:color w:val="002060"/>
          <w:sz w:val="20"/>
          <w:szCs w:val="20"/>
        </w:rPr>
        <w:t>A</w:t>
      </w:r>
      <w:r w:rsidRPr="00F51F5F">
        <w:rPr>
          <w:rFonts w:ascii="Arial" w:hAnsi="Arial" w:cs="Arial"/>
          <w:color w:val="002060"/>
          <w:sz w:val="20"/>
          <w:szCs w:val="20"/>
        </w:rPr>
        <w:t xml:space="preserve">frontar les amenaces </w:t>
      </w:r>
    </w:p>
    <w:p w:rsidR="00F51F5F" w:rsidRPr="00F51F5F" w:rsidRDefault="00F51F5F" w:rsidP="0036376F">
      <w:pPr>
        <w:jc w:val="both"/>
        <w:rPr>
          <w:rFonts w:ascii="Arial" w:hAnsi="Arial" w:cs="Arial"/>
          <w:color w:val="002060"/>
          <w:sz w:val="20"/>
          <w:szCs w:val="20"/>
        </w:rPr>
      </w:pPr>
      <w:r w:rsidRPr="00F51F5F">
        <w:rPr>
          <w:rFonts w:ascii="Arial" w:hAnsi="Arial" w:cs="Arial"/>
          <w:color w:val="002060"/>
          <w:sz w:val="20"/>
          <w:szCs w:val="20"/>
        </w:rPr>
        <w:t xml:space="preserve">3- </w:t>
      </w:r>
      <w:r w:rsidRPr="00F51F5F">
        <w:rPr>
          <w:rFonts w:ascii="Arial" w:hAnsi="Arial" w:cs="Arial"/>
          <w:b/>
          <w:color w:val="002060"/>
          <w:sz w:val="20"/>
          <w:szCs w:val="20"/>
        </w:rPr>
        <w:t>M</w:t>
      </w:r>
      <w:r w:rsidRPr="00F51F5F">
        <w:rPr>
          <w:rFonts w:ascii="Arial" w:hAnsi="Arial" w:cs="Arial"/>
          <w:color w:val="002060"/>
          <w:sz w:val="20"/>
          <w:szCs w:val="20"/>
        </w:rPr>
        <w:t>antenir i potenciar les fortaleses</w:t>
      </w:r>
    </w:p>
    <w:p w:rsidR="00F51F5F" w:rsidRPr="00F51F5F" w:rsidRDefault="00F51F5F" w:rsidP="0036376F">
      <w:pPr>
        <w:jc w:val="both"/>
        <w:rPr>
          <w:rFonts w:ascii="Arial" w:hAnsi="Arial" w:cs="Arial"/>
          <w:color w:val="002060"/>
          <w:sz w:val="20"/>
          <w:szCs w:val="20"/>
        </w:rPr>
      </w:pPr>
      <w:r w:rsidRPr="00F51F5F">
        <w:rPr>
          <w:rFonts w:ascii="Arial" w:hAnsi="Arial" w:cs="Arial"/>
          <w:color w:val="002060"/>
          <w:sz w:val="20"/>
          <w:szCs w:val="20"/>
        </w:rPr>
        <w:t xml:space="preserve">4- </w:t>
      </w:r>
      <w:r w:rsidRPr="00F51F5F">
        <w:rPr>
          <w:rFonts w:ascii="Arial" w:hAnsi="Arial" w:cs="Arial"/>
          <w:b/>
          <w:color w:val="002060"/>
          <w:sz w:val="20"/>
          <w:szCs w:val="20"/>
        </w:rPr>
        <w:t>E</w:t>
      </w:r>
      <w:r w:rsidRPr="00F51F5F">
        <w:rPr>
          <w:rFonts w:ascii="Arial" w:hAnsi="Arial" w:cs="Arial"/>
          <w:color w:val="002060"/>
          <w:sz w:val="20"/>
          <w:szCs w:val="20"/>
        </w:rPr>
        <w:t>xplotar i aprofitar les oportunitats</w:t>
      </w:r>
    </w:p>
    <w:p w:rsidR="001D6BE4" w:rsidRDefault="001D6BE4" w:rsidP="0036376F">
      <w:pPr>
        <w:jc w:val="both"/>
        <w:rPr>
          <w:color w:val="002060"/>
        </w:rPr>
      </w:pPr>
    </w:p>
    <w:p w:rsidR="004A49D2" w:rsidRPr="004A49D2" w:rsidRDefault="00353265" w:rsidP="0036376F">
      <w:pPr>
        <w:jc w:val="both"/>
        <w:rPr>
          <w:rFonts w:ascii="Arial" w:hAnsi="Arial" w:cs="Arial"/>
          <w:color w:val="002060"/>
          <w:sz w:val="20"/>
          <w:szCs w:val="20"/>
        </w:rPr>
      </w:pPr>
      <w:r>
        <w:rPr>
          <w:rFonts w:ascii="Arial" w:hAnsi="Arial" w:cs="Arial"/>
          <w:color w:val="002060"/>
          <w:sz w:val="20"/>
          <w:szCs w:val="20"/>
        </w:rPr>
        <w:t>Partint de la matriu</w:t>
      </w:r>
      <w:r w:rsidR="004A49D2">
        <w:rPr>
          <w:rFonts w:ascii="Arial" w:hAnsi="Arial" w:cs="Arial"/>
          <w:color w:val="002060"/>
          <w:sz w:val="20"/>
          <w:szCs w:val="20"/>
        </w:rPr>
        <w:t xml:space="preserve"> DAFO es pot identificar </w:t>
      </w:r>
      <w:r w:rsidR="005A3270">
        <w:rPr>
          <w:rFonts w:ascii="Arial" w:hAnsi="Arial" w:cs="Arial"/>
          <w:color w:val="002060"/>
          <w:sz w:val="20"/>
          <w:szCs w:val="20"/>
        </w:rPr>
        <w:t>per</w:t>
      </w:r>
      <w:r w:rsidR="004A49D2">
        <w:rPr>
          <w:rFonts w:ascii="Arial" w:hAnsi="Arial" w:cs="Arial"/>
          <w:color w:val="002060"/>
          <w:sz w:val="20"/>
          <w:szCs w:val="20"/>
        </w:rPr>
        <w:t xml:space="preserve"> Laboratoris Hipra una estratègia</w:t>
      </w:r>
      <w:r>
        <w:rPr>
          <w:rFonts w:ascii="Arial" w:hAnsi="Arial" w:cs="Arial"/>
          <w:color w:val="002060"/>
          <w:sz w:val="20"/>
          <w:szCs w:val="20"/>
        </w:rPr>
        <w:t xml:space="preserve"> de tipus</w:t>
      </w:r>
      <w:r w:rsidR="004A49D2">
        <w:rPr>
          <w:rFonts w:ascii="Arial" w:hAnsi="Arial" w:cs="Arial"/>
          <w:color w:val="002060"/>
          <w:sz w:val="20"/>
          <w:szCs w:val="20"/>
        </w:rPr>
        <w:t xml:space="preserve"> ofensiva en l’anàlisi CAME per la qual utilitza les seves fortaleses per aprofitar les oportunitats.</w:t>
      </w:r>
    </w:p>
    <w:p w:rsidR="004A49D2" w:rsidRDefault="004A49D2" w:rsidP="0036376F">
      <w:pPr>
        <w:jc w:val="both"/>
        <w:rPr>
          <w:color w:val="002060"/>
        </w:rPr>
      </w:pPr>
    </w:p>
    <w:p w:rsidR="00F51F5F" w:rsidRPr="009046B2" w:rsidRDefault="00F51F5F" w:rsidP="009046B2">
      <w:pPr>
        <w:pStyle w:val="Prrafodelista"/>
        <w:numPr>
          <w:ilvl w:val="0"/>
          <w:numId w:val="33"/>
        </w:numPr>
        <w:jc w:val="both"/>
        <w:rPr>
          <w:rFonts w:ascii="Arial" w:hAnsi="Arial" w:cs="Arial"/>
          <w:color w:val="002060"/>
          <w:sz w:val="20"/>
          <w:szCs w:val="20"/>
          <w:u w:val="single"/>
        </w:rPr>
      </w:pPr>
      <w:r w:rsidRPr="009046B2">
        <w:rPr>
          <w:rFonts w:ascii="Arial" w:hAnsi="Arial" w:cs="Arial"/>
          <w:color w:val="002060"/>
          <w:sz w:val="20"/>
          <w:szCs w:val="20"/>
          <w:u w:val="single"/>
        </w:rPr>
        <w:t>Corregir debilitats</w:t>
      </w:r>
    </w:p>
    <w:p w:rsidR="00F51F5F" w:rsidRDefault="00F51F5F" w:rsidP="0036376F">
      <w:pPr>
        <w:jc w:val="both"/>
        <w:rPr>
          <w:rFonts w:ascii="Arial" w:hAnsi="Arial" w:cs="Arial"/>
          <w:color w:val="002060"/>
          <w:sz w:val="20"/>
          <w:szCs w:val="20"/>
          <w:u w:val="single"/>
        </w:rPr>
      </w:pPr>
    </w:p>
    <w:p w:rsidR="003912AD" w:rsidRDefault="003912AD" w:rsidP="0036376F">
      <w:pPr>
        <w:jc w:val="both"/>
        <w:rPr>
          <w:rFonts w:ascii="Arial" w:hAnsi="Arial" w:cs="Arial"/>
          <w:color w:val="002060"/>
          <w:sz w:val="20"/>
          <w:szCs w:val="20"/>
        </w:rPr>
      </w:pPr>
      <w:r w:rsidRPr="009046B2">
        <w:rPr>
          <w:rFonts w:ascii="Arial" w:hAnsi="Arial" w:cs="Arial"/>
          <w:color w:val="002060"/>
          <w:sz w:val="20"/>
          <w:szCs w:val="20"/>
          <w:u w:val="single"/>
        </w:rPr>
        <w:t>L’exposició al risc de tipus de canvi</w:t>
      </w:r>
      <w:r>
        <w:rPr>
          <w:rFonts w:ascii="Arial" w:hAnsi="Arial" w:cs="Arial"/>
          <w:color w:val="002060"/>
          <w:sz w:val="20"/>
          <w:szCs w:val="20"/>
        </w:rPr>
        <w:t xml:space="preserve"> pot </w:t>
      </w:r>
      <w:r w:rsidR="00B80FAD">
        <w:rPr>
          <w:rFonts w:ascii="Arial" w:hAnsi="Arial" w:cs="Arial"/>
          <w:color w:val="002060"/>
          <w:sz w:val="20"/>
          <w:szCs w:val="20"/>
        </w:rPr>
        <w:t>reduir-se</w:t>
      </w:r>
      <w:r>
        <w:rPr>
          <w:rFonts w:ascii="Arial" w:hAnsi="Arial" w:cs="Arial"/>
          <w:color w:val="002060"/>
          <w:sz w:val="20"/>
          <w:szCs w:val="20"/>
        </w:rPr>
        <w:t xml:space="preserve"> per mitjà de la contractació d’instruments financers de cobertura. Són eines que tenen un cost associat i per tant cal valorar quin nivell de risc l’empresa està disposada a assumir i que els costos de cobertura no acabin sent més grans que les possibles pèrdues provinents dels tipus </w:t>
      </w:r>
      <w:r w:rsidR="00B80FAD">
        <w:rPr>
          <w:rFonts w:ascii="Arial" w:hAnsi="Arial" w:cs="Arial"/>
          <w:color w:val="002060"/>
          <w:sz w:val="20"/>
          <w:szCs w:val="20"/>
        </w:rPr>
        <w:t>canviaris</w:t>
      </w:r>
      <w:r>
        <w:rPr>
          <w:rFonts w:ascii="Arial" w:hAnsi="Arial" w:cs="Arial"/>
          <w:color w:val="002060"/>
          <w:sz w:val="20"/>
          <w:szCs w:val="20"/>
        </w:rPr>
        <w:t xml:space="preserve"> de les divises.</w:t>
      </w:r>
    </w:p>
    <w:p w:rsidR="003912AD" w:rsidRDefault="003912AD" w:rsidP="0036376F">
      <w:pPr>
        <w:jc w:val="both"/>
        <w:rPr>
          <w:rFonts w:ascii="Arial" w:hAnsi="Arial" w:cs="Arial"/>
          <w:color w:val="002060"/>
          <w:sz w:val="20"/>
          <w:szCs w:val="20"/>
        </w:rPr>
      </w:pPr>
    </w:p>
    <w:p w:rsidR="00F51F5F" w:rsidRPr="00F51F5F" w:rsidRDefault="003912AD" w:rsidP="0036376F">
      <w:pPr>
        <w:jc w:val="both"/>
        <w:rPr>
          <w:rFonts w:ascii="Arial" w:hAnsi="Arial" w:cs="Arial"/>
          <w:color w:val="002060"/>
          <w:sz w:val="20"/>
          <w:szCs w:val="20"/>
        </w:rPr>
      </w:pPr>
      <w:r w:rsidRPr="009046B2">
        <w:rPr>
          <w:rFonts w:ascii="Arial" w:hAnsi="Arial" w:cs="Arial"/>
          <w:color w:val="002060"/>
          <w:sz w:val="20"/>
          <w:szCs w:val="20"/>
          <w:u w:val="single"/>
        </w:rPr>
        <w:t>La investigació i desenvolupament, un dels pilars bàsic de Laboratoris Hipra, té uns riscos associats molt elevats</w:t>
      </w:r>
      <w:r>
        <w:rPr>
          <w:rFonts w:ascii="Arial" w:hAnsi="Arial" w:cs="Arial"/>
          <w:color w:val="002060"/>
          <w:sz w:val="20"/>
          <w:szCs w:val="20"/>
        </w:rPr>
        <w:t xml:space="preserve">. S’inverteix molts recursos i temps i </w:t>
      </w:r>
      <w:r w:rsidR="004A49D2">
        <w:rPr>
          <w:rFonts w:ascii="Arial" w:hAnsi="Arial" w:cs="Arial"/>
          <w:color w:val="002060"/>
          <w:sz w:val="20"/>
          <w:szCs w:val="20"/>
        </w:rPr>
        <w:t xml:space="preserve">en aquests processos </w:t>
      </w:r>
      <w:r>
        <w:rPr>
          <w:rFonts w:ascii="Arial" w:hAnsi="Arial" w:cs="Arial"/>
          <w:color w:val="002060"/>
          <w:sz w:val="20"/>
          <w:szCs w:val="20"/>
        </w:rPr>
        <w:t xml:space="preserve">no </w:t>
      </w:r>
      <w:r w:rsidR="004A49D2">
        <w:rPr>
          <w:rFonts w:ascii="Arial" w:hAnsi="Arial" w:cs="Arial"/>
          <w:color w:val="002060"/>
          <w:sz w:val="20"/>
          <w:szCs w:val="20"/>
        </w:rPr>
        <w:t>necessàriament</w:t>
      </w:r>
      <w:r>
        <w:rPr>
          <w:rFonts w:ascii="Arial" w:hAnsi="Arial" w:cs="Arial"/>
          <w:color w:val="002060"/>
          <w:sz w:val="20"/>
          <w:szCs w:val="20"/>
        </w:rPr>
        <w:t xml:space="preserve"> s’obtenen els resultats esperats. En aquest sentit és adequat diversificar el risc per mitjà d’establir un mix de la carpeta de productes entre aquells que es troben més consolidats i proporcionen uns ingressos més estables i d’altres més nous amb bones expectatives de vendes però més incertes. Alhora l’empresa pot emprendre més projectes d’investigació minimitzant l’ús de recursos i temps si ho fa establint aliances i acords contractuals amb d’altres empreses.    </w:t>
      </w:r>
    </w:p>
    <w:p w:rsidR="00106DD6" w:rsidRDefault="00106DD6" w:rsidP="002D48FA">
      <w:pPr>
        <w:jc w:val="both"/>
        <w:rPr>
          <w:rFonts w:ascii="Arial" w:hAnsi="Arial" w:cs="Arial"/>
          <w:b/>
          <w:color w:val="000361"/>
        </w:rPr>
      </w:pPr>
    </w:p>
    <w:p w:rsidR="004A49D2" w:rsidRDefault="004A49D2" w:rsidP="002D48FA">
      <w:pPr>
        <w:jc w:val="both"/>
        <w:rPr>
          <w:rFonts w:ascii="Arial" w:hAnsi="Arial" w:cs="Arial"/>
          <w:color w:val="000361"/>
          <w:sz w:val="20"/>
          <w:szCs w:val="20"/>
        </w:rPr>
      </w:pPr>
      <w:r w:rsidRPr="009046B2">
        <w:rPr>
          <w:rFonts w:ascii="Arial" w:hAnsi="Arial" w:cs="Arial"/>
          <w:color w:val="000361"/>
          <w:sz w:val="20"/>
          <w:szCs w:val="20"/>
          <w:u w:val="single"/>
        </w:rPr>
        <w:t xml:space="preserve">El rendiment </w:t>
      </w:r>
      <w:r w:rsidR="009046B2" w:rsidRPr="009046B2">
        <w:rPr>
          <w:rFonts w:ascii="Arial" w:hAnsi="Arial" w:cs="Arial"/>
          <w:color w:val="000361"/>
          <w:sz w:val="20"/>
          <w:szCs w:val="20"/>
          <w:u w:val="single"/>
        </w:rPr>
        <w:t>obtingut del</w:t>
      </w:r>
      <w:r w:rsidRPr="009046B2">
        <w:rPr>
          <w:rFonts w:ascii="Arial" w:hAnsi="Arial" w:cs="Arial"/>
          <w:color w:val="000361"/>
          <w:sz w:val="20"/>
          <w:szCs w:val="20"/>
          <w:u w:val="single"/>
        </w:rPr>
        <w:t xml:space="preserve"> capital invertit a l’empresa és més baix que la mitjana sectorial</w:t>
      </w:r>
      <w:r>
        <w:rPr>
          <w:rFonts w:ascii="Arial" w:hAnsi="Arial" w:cs="Arial"/>
          <w:color w:val="000361"/>
          <w:sz w:val="20"/>
          <w:szCs w:val="20"/>
        </w:rPr>
        <w:t xml:space="preserve">, tenint en compte que el palanquejament financer té valors positius, podria millorar aquesta rendibilitat si a l’estructura financera s’augmenta la proporció d’endeutament </w:t>
      </w:r>
      <w:r w:rsidR="009046B2">
        <w:rPr>
          <w:rFonts w:ascii="Arial" w:hAnsi="Arial" w:cs="Arial"/>
          <w:color w:val="000361"/>
          <w:sz w:val="20"/>
          <w:szCs w:val="20"/>
        </w:rPr>
        <w:t>en detriment</w:t>
      </w:r>
      <w:r>
        <w:rPr>
          <w:rFonts w:ascii="Arial" w:hAnsi="Arial" w:cs="Arial"/>
          <w:color w:val="000361"/>
          <w:sz w:val="20"/>
          <w:szCs w:val="20"/>
        </w:rPr>
        <w:t xml:space="preserve"> del capital propi. </w:t>
      </w:r>
    </w:p>
    <w:p w:rsidR="009046B2" w:rsidRDefault="009046B2" w:rsidP="002D48FA">
      <w:pPr>
        <w:jc w:val="both"/>
        <w:rPr>
          <w:rFonts w:ascii="Arial" w:hAnsi="Arial" w:cs="Arial"/>
          <w:color w:val="000361"/>
          <w:sz w:val="20"/>
          <w:szCs w:val="20"/>
        </w:rPr>
      </w:pPr>
    </w:p>
    <w:p w:rsidR="009046B2" w:rsidRDefault="009046B2" w:rsidP="002D48FA">
      <w:pPr>
        <w:jc w:val="both"/>
        <w:rPr>
          <w:rFonts w:ascii="Arial" w:hAnsi="Arial" w:cs="Arial"/>
          <w:color w:val="000361"/>
          <w:sz w:val="20"/>
          <w:szCs w:val="20"/>
        </w:rPr>
      </w:pPr>
      <w:r w:rsidRPr="009046B2">
        <w:rPr>
          <w:rFonts w:ascii="Arial" w:hAnsi="Arial" w:cs="Arial"/>
          <w:color w:val="000361"/>
          <w:sz w:val="20"/>
          <w:szCs w:val="20"/>
          <w:u w:val="single"/>
        </w:rPr>
        <w:lastRenderedPageBreak/>
        <w:t>L’empresa és petita respecte els competidors</w:t>
      </w:r>
      <w:r>
        <w:rPr>
          <w:rFonts w:ascii="Arial" w:hAnsi="Arial" w:cs="Arial"/>
          <w:color w:val="000361"/>
          <w:sz w:val="20"/>
          <w:szCs w:val="20"/>
        </w:rPr>
        <w:t xml:space="preserve"> que lideren el mercat de Salut Animal que és molt ampli en la diversitat de productes i serveis que l’integren. No obstant l’empresa ocupa una posició rellevant en el nínxol de mercat de les vacunes animals i el seu creixement ha d’anar orientat a aquest segment en el qual són experts i els diferència de la resta.</w:t>
      </w:r>
    </w:p>
    <w:p w:rsidR="009046B2" w:rsidRDefault="009046B2" w:rsidP="002D48FA">
      <w:pPr>
        <w:jc w:val="both"/>
        <w:rPr>
          <w:rFonts w:ascii="Arial" w:hAnsi="Arial" w:cs="Arial"/>
          <w:color w:val="000361"/>
          <w:sz w:val="20"/>
          <w:szCs w:val="20"/>
        </w:rPr>
      </w:pPr>
    </w:p>
    <w:p w:rsidR="009046B2" w:rsidRDefault="009046B2" w:rsidP="009046B2">
      <w:pPr>
        <w:pStyle w:val="Prrafodelista"/>
        <w:numPr>
          <w:ilvl w:val="0"/>
          <w:numId w:val="33"/>
        </w:numPr>
        <w:jc w:val="both"/>
        <w:rPr>
          <w:rFonts w:ascii="Arial" w:hAnsi="Arial" w:cs="Arial"/>
          <w:color w:val="000361"/>
          <w:sz w:val="20"/>
          <w:szCs w:val="20"/>
          <w:u w:val="single"/>
        </w:rPr>
      </w:pPr>
      <w:r w:rsidRPr="009046B2">
        <w:rPr>
          <w:rFonts w:ascii="Arial" w:hAnsi="Arial" w:cs="Arial"/>
          <w:color w:val="000361"/>
          <w:sz w:val="20"/>
          <w:szCs w:val="20"/>
          <w:u w:val="single"/>
        </w:rPr>
        <w:t>Afrontar amenaces</w:t>
      </w:r>
    </w:p>
    <w:p w:rsidR="009046B2" w:rsidRDefault="009046B2" w:rsidP="009046B2">
      <w:pPr>
        <w:jc w:val="both"/>
        <w:rPr>
          <w:rFonts w:ascii="Arial" w:hAnsi="Arial" w:cs="Arial"/>
          <w:color w:val="000361"/>
          <w:sz w:val="20"/>
          <w:szCs w:val="20"/>
          <w:u w:val="single"/>
        </w:rPr>
      </w:pPr>
    </w:p>
    <w:p w:rsidR="009046B2" w:rsidRDefault="009046B2" w:rsidP="009046B2">
      <w:pPr>
        <w:jc w:val="both"/>
        <w:rPr>
          <w:rFonts w:ascii="Arial" w:hAnsi="Arial" w:cs="Arial"/>
          <w:color w:val="000361"/>
          <w:sz w:val="20"/>
          <w:szCs w:val="20"/>
        </w:rPr>
      </w:pPr>
      <w:r w:rsidRPr="009046B2">
        <w:rPr>
          <w:rFonts w:ascii="Arial" w:hAnsi="Arial" w:cs="Arial"/>
          <w:color w:val="000361"/>
          <w:sz w:val="20"/>
          <w:szCs w:val="20"/>
          <w:u w:val="single"/>
        </w:rPr>
        <w:t>Sector amb grans multinacionals que disposen de grans quotes de mercat</w:t>
      </w:r>
      <w:r>
        <w:rPr>
          <w:rFonts w:ascii="Arial" w:hAnsi="Arial" w:cs="Arial"/>
          <w:color w:val="000361"/>
          <w:sz w:val="20"/>
          <w:szCs w:val="20"/>
        </w:rPr>
        <w:t>. Ja s’ha indicat que la mida de l’empresa Hipra és una debilitat s’ha de corregir per mitjà de potenciar el creixement en allò que està especialitzat i que el fa diferent.</w:t>
      </w:r>
    </w:p>
    <w:p w:rsidR="009046B2" w:rsidRDefault="009046B2" w:rsidP="009046B2">
      <w:pPr>
        <w:jc w:val="both"/>
        <w:rPr>
          <w:rFonts w:ascii="Arial" w:hAnsi="Arial" w:cs="Arial"/>
          <w:color w:val="000361"/>
          <w:sz w:val="20"/>
          <w:szCs w:val="20"/>
        </w:rPr>
      </w:pPr>
    </w:p>
    <w:p w:rsidR="009046B2" w:rsidRDefault="009046B2" w:rsidP="009046B2">
      <w:pPr>
        <w:jc w:val="both"/>
        <w:rPr>
          <w:rFonts w:ascii="Arial" w:hAnsi="Arial" w:cs="Arial"/>
          <w:color w:val="000361"/>
          <w:sz w:val="20"/>
          <w:szCs w:val="20"/>
        </w:rPr>
      </w:pPr>
      <w:r w:rsidRPr="009046B2">
        <w:rPr>
          <w:rFonts w:ascii="Arial" w:hAnsi="Arial" w:cs="Arial"/>
          <w:color w:val="000361"/>
          <w:sz w:val="20"/>
          <w:szCs w:val="20"/>
          <w:u w:val="single"/>
        </w:rPr>
        <w:t>La crisi social, econòmica i sanitària de la COVID</w:t>
      </w:r>
      <w:r>
        <w:rPr>
          <w:rFonts w:ascii="Arial" w:hAnsi="Arial" w:cs="Arial"/>
          <w:color w:val="000361"/>
          <w:sz w:val="20"/>
          <w:szCs w:val="20"/>
        </w:rPr>
        <w:t xml:space="preserve"> ha donat lloc a restriccions d’interaccions entre persones, problemes de subministraments, interrupcions de les cadenes, disminució de la capacitats econòmiques d’empreses i de la societat en general, etc..  Laboratoris Hipra i en aquest aspecte haurà d’adaptar-se a aquestes circumstàncies </w:t>
      </w:r>
      <w:r w:rsidR="00B80FAD">
        <w:rPr>
          <w:rFonts w:ascii="Arial" w:hAnsi="Arial" w:cs="Arial"/>
          <w:color w:val="000361"/>
          <w:sz w:val="20"/>
          <w:szCs w:val="20"/>
        </w:rPr>
        <w:t>introduint</w:t>
      </w:r>
      <w:r>
        <w:rPr>
          <w:rFonts w:ascii="Arial" w:hAnsi="Arial" w:cs="Arial"/>
          <w:color w:val="000361"/>
          <w:sz w:val="20"/>
          <w:szCs w:val="20"/>
        </w:rPr>
        <w:t xml:space="preserve"> de manera immediata les millores tecnològiques </w:t>
      </w:r>
      <w:r w:rsidR="00B80FAD">
        <w:rPr>
          <w:rFonts w:ascii="Arial" w:hAnsi="Arial" w:cs="Arial"/>
          <w:color w:val="000361"/>
          <w:sz w:val="20"/>
          <w:szCs w:val="20"/>
        </w:rPr>
        <w:t>necessàries</w:t>
      </w:r>
      <w:r>
        <w:rPr>
          <w:rFonts w:ascii="Arial" w:hAnsi="Arial" w:cs="Arial"/>
          <w:color w:val="000361"/>
          <w:sz w:val="20"/>
          <w:szCs w:val="20"/>
        </w:rPr>
        <w:t xml:space="preserve"> perquè pugui realitzar la seva activitat normalment minimitzant les interaccions socials: teletreball, noves formes de contacte amb els clients i proveïdors. </w:t>
      </w:r>
      <w:r w:rsidR="00B80FAD">
        <w:rPr>
          <w:rFonts w:ascii="Arial" w:hAnsi="Arial" w:cs="Arial"/>
          <w:color w:val="000361"/>
          <w:sz w:val="20"/>
          <w:szCs w:val="20"/>
        </w:rPr>
        <w:t>Tanmateix</w:t>
      </w:r>
      <w:r>
        <w:rPr>
          <w:rFonts w:ascii="Arial" w:hAnsi="Arial" w:cs="Arial"/>
          <w:color w:val="000361"/>
          <w:sz w:val="20"/>
          <w:szCs w:val="20"/>
        </w:rPr>
        <w:t xml:space="preserve"> cal redefinir els plans d’aprovisionament per evitar ruptures d’estoc i tenir un major control d’aquells que siguin més essencials en la cadena de valor.</w:t>
      </w:r>
    </w:p>
    <w:p w:rsidR="009046B2" w:rsidRDefault="009046B2" w:rsidP="009046B2">
      <w:pPr>
        <w:jc w:val="both"/>
        <w:rPr>
          <w:rFonts w:ascii="Arial" w:hAnsi="Arial" w:cs="Arial"/>
          <w:color w:val="000361"/>
          <w:sz w:val="20"/>
          <w:szCs w:val="20"/>
        </w:rPr>
      </w:pPr>
    </w:p>
    <w:p w:rsidR="009046B2" w:rsidRDefault="009046B2" w:rsidP="009046B2">
      <w:pPr>
        <w:jc w:val="both"/>
        <w:rPr>
          <w:rFonts w:ascii="Arial" w:hAnsi="Arial" w:cs="Arial"/>
          <w:color w:val="000361"/>
          <w:sz w:val="20"/>
          <w:szCs w:val="20"/>
        </w:rPr>
      </w:pPr>
      <w:r w:rsidRPr="009046B2">
        <w:rPr>
          <w:rFonts w:ascii="Arial" w:hAnsi="Arial" w:cs="Arial"/>
          <w:color w:val="000361"/>
          <w:sz w:val="20"/>
          <w:szCs w:val="20"/>
          <w:u w:val="single"/>
        </w:rPr>
        <w:t>Restriccions en l’ús d’antibiòtics</w:t>
      </w:r>
      <w:r>
        <w:rPr>
          <w:rFonts w:ascii="Arial" w:hAnsi="Arial" w:cs="Arial"/>
          <w:color w:val="000361"/>
          <w:sz w:val="20"/>
          <w:szCs w:val="20"/>
        </w:rPr>
        <w:t>. Laboratoris Hipra l’any 2008 dissenyà una estratègia -encara vigent- per apartar-se d’aquesta línia de negocis que ha anat decreixent en el transcurs dels anys i corroborant que la decisió fou encertada.</w:t>
      </w:r>
    </w:p>
    <w:p w:rsidR="009046B2" w:rsidRDefault="009046B2" w:rsidP="009046B2">
      <w:pPr>
        <w:jc w:val="both"/>
        <w:rPr>
          <w:rFonts w:ascii="Arial" w:hAnsi="Arial" w:cs="Arial"/>
          <w:color w:val="000361"/>
          <w:sz w:val="20"/>
          <w:szCs w:val="20"/>
        </w:rPr>
      </w:pPr>
    </w:p>
    <w:p w:rsidR="009046B2" w:rsidRDefault="009046B2" w:rsidP="009046B2">
      <w:pPr>
        <w:jc w:val="both"/>
        <w:rPr>
          <w:rFonts w:ascii="Arial" w:hAnsi="Arial" w:cs="Arial"/>
          <w:color w:val="000361"/>
          <w:sz w:val="20"/>
          <w:szCs w:val="20"/>
        </w:rPr>
      </w:pPr>
      <w:r w:rsidRPr="009046B2">
        <w:rPr>
          <w:rFonts w:ascii="Arial" w:hAnsi="Arial" w:cs="Arial"/>
          <w:color w:val="000361"/>
          <w:sz w:val="20"/>
          <w:szCs w:val="20"/>
          <w:u w:val="single"/>
        </w:rPr>
        <w:t>Els requeriments i exigències que acompanyen els projectes innovadors farmacèutics</w:t>
      </w:r>
      <w:r>
        <w:rPr>
          <w:rFonts w:ascii="Arial" w:hAnsi="Arial" w:cs="Arial"/>
          <w:color w:val="000361"/>
          <w:sz w:val="20"/>
          <w:szCs w:val="20"/>
        </w:rPr>
        <w:t xml:space="preserve"> comporta destinar molt temps i recursos fins que reben l’aprovació per a ser comercialitzats. L’empresa pot agilitzar el procés d’investigació per mitjà de l’externalització o establint acords de col·laboració amb d’altres empreses per dur a terme algunes de les fases de desenvolupament.</w:t>
      </w:r>
    </w:p>
    <w:p w:rsidR="009046B2" w:rsidRDefault="009046B2" w:rsidP="009046B2">
      <w:pPr>
        <w:jc w:val="both"/>
        <w:rPr>
          <w:rFonts w:ascii="Arial" w:hAnsi="Arial" w:cs="Arial"/>
          <w:color w:val="000361"/>
          <w:sz w:val="20"/>
          <w:szCs w:val="20"/>
        </w:rPr>
      </w:pPr>
    </w:p>
    <w:p w:rsidR="009046B2" w:rsidRPr="009046B2" w:rsidRDefault="009046B2" w:rsidP="009046B2">
      <w:pPr>
        <w:pStyle w:val="Prrafodelista"/>
        <w:numPr>
          <w:ilvl w:val="0"/>
          <w:numId w:val="33"/>
        </w:numPr>
        <w:jc w:val="both"/>
        <w:rPr>
          <w:rFonts w:ascii="Arial" w:hAnsi="Arial" w:cs="Arial"/>
          <w:color w:val="000361"/>
          <w:sz w:val="20"/>
          <w:szCs w:val="20"/>
          <w:u w:val="single"/>
        </w:rPr>
      </w:pPr>
      <w:r w:rsidRPr="009046B2">
        <w:rPr>
          <w:rFonts w:ascii="Arial" w:hAnsi="Arial" w:cs="Arial"/>
          <w:color w:val="000361"/>
          <w:sz w:val="20"/>
          <w:szCs w:val="20"/>
          <w:u w:val="single"/>
        </w:rPr>
        <w:t>Mantenir i potenciar fortaleses</w:t>
      </w:r>
    </w:p>
    <w:p w:rsidR="009046B2" w:rsidRDefault="009046B2" w:rsidP="009046B2">
      <w:pPr>
        <w:jc w:val="both"/>
        <w:rPr>
          <w:rFonts w:ascii="Arial" w:hAnsi="Arial" w:cs="Arial"/>
          <w:color w:val="000361"/>
          <w:sz w:val="20"/>
          <w:szCs w:val="20"/>
        </w:rPr>
      </w:pPr>
    </w:p>
    <w:p w:rsidR="009046B2" w:rsidRDefault="009046B2" w:rsidP="009046B2">
      <w:pPr>
        <w:jc w:val="both"/>
        <w:rPr>
          <w:rFonts w:ascii="Arial" w:hAnsi="Arial" w:cs="Arial"/>
          <w:color w:val="000361"/>
          <w:sz w:val="20"/>
          <w:szCs w:val="20"/>
        </w:rPr>
      </w:pPr>
      <w:r>
        <w:rPr>
          <w:rFonts w:ascii="Arial" w:hAnsi="Arial" w:cs="Arial"/>
          <w:color w:val="000361"/>
          <w:sz w:val="20"/>
          <w:szCs w:val="20"/>
        </w:rPr>
        <w:t xml:space="preserve">Per continuar creixent en el mercat de les vacunes cal seguir enfortint </w:t>
      </w:r>
      <w:r w:rsidRPr="00CE5304">
        <w:rPr>
          <w:rFonts w:ascii="Arial" w:hAnsi="Arial" w:cs="Arial"/>
          <w:color w:val="000361"/>
          <w:sz w:val="20"/>
          <w:szCs w:val="20"/>
          <w:u w:val="single"/>
        </w:rPr>
        <w:t>l’</w:t>
      </w:r>
      <w:r w:rsidR="00CE5304" w:rsidRPr="00CE5304">
        <w:rPr>
          <w:rFonts w:ascii="Arial" w:hAnsi="Arial" w:cs="Arial"/>
          <w:color w:val="000361"/>
          <w:sz w:val="20"/>
          <w:szCs w:val="20"/>
          <w:u w:val="single"/>
        </w:rPr>
        <w:t>R</w:t>
      </w:r>
      <w:r w:rsidRPr="00CE5304">
        <w:rPr>
          <w:rFonts w:ascii="Arial" w:hAnsi="Arial" w:cs="Arial"/>
          <w:color w:val="000361"/>
          <w:sz w:val="20"/>
          <w:szCs w:val="20"/>
          <w:u w:val="single"/>
        </w:rPr>
        <w:t>+D</w:t>
      </w:r>
      <w:r>
        <w:rPr>
          <w:rFonts w:ascii="Arial" w:hAnsi="Arial" w:cs="Arial"/>
          <w:color w:val="000361"/>
          <w:sz w:val="20"/>
          <w:szCs w:val="20"/>
        </w:rPr>
        <w:t xml:space="preserve"> de Laboratoris Hipra dotant-la dels recursos econòmics que permetin captar i retenir talent, i la introducció de millores tecnològiques que doni lloc a productes innovadors que permetin augmentar els ingressos per vendes.</w:t>
      </w:r>
    </w:p>
    <w:p w:rsidR="009046B2" w:rsidRDefault="009046B2" w:rsidP="009046B2">
      <w:pPr>
        <w:jc w:val="both"/>
        <w:rPr>
          <w:rFonts w:ascii="Arial" w:hAnsi="Arial" w:cs="Arial"/>
          <w:color w:val="000361"/>
          <w:sz w:val="20"/>
          <w:szCs w:val="20"/>
        </w:rPr>
      </w:pPr>
    </w:p>
    <w:p w:rsidR="009046B2" w:rsidRDefault="009046B2" w:rsidP="009046B2">
      <w:pPr>
        <w:jc w:val="both"/>
        <w:rPr>
          <w:rFonts w:ascii="Arial" w:hAnsi="Arial" w:cs="Arial"/>
          <w:color w:val="000361"/>
          <w:sz w:val="20"/>
          <w:szCs w:val="20"/>
        </w:rPr>
      </w:pPr>
      <w:r>
        <w:rPr>
          <w:rFonts w:ascii="Arial" w:hAnsi="Arial" w:cs="Arial"/>
          <w:color w:val="000361"/>
          <w:sz w:val="20"/>
          <w:szCs w:val="20"/>
        </w:rPr>
        <w:t xml:space="preserve">L’empresa infrautilitza </w:t>
      </w:r>
      <w:r w:rsidR="00CE5304">
        <w:rPr>
          <w:rFonts w:ascii="Arial" w:hAnsi="Arial" w:cs="Arial"/>
          <w:color w:val="000361"/>
          <w:sz w:val="20"/>
          <w:szCs w:val="20"/>
        </w:rPr>
        <w:t>el finançament aliè</w:t>
      </w:r>
      <w:r>
        <w:rPr>
          <w:rFonts w:ascii="Arial" w:hAnsi="Arial" w:cs="Arial"/>
          <w:color w:val="000361"/>
          <w:sz w:val="20"/>
          <w:szCs w:val="20"/>
        </w:rPr>
        <w:t xml:space="preserve">, i per tant </w:t>
      </w:r>
      <w:r w:rsidRPr="00CE5304">
        <w:rPr>
          <w:rFonts w:ascii="Arial" w:hAnsi="Arial" w:cs="Arial"/>
          <w:color w:val="000361"/>
          <w:sz w:val="20"/>
          <w:szCs w:val="20"/>
          <w:u w:val="single"/>
        </w:rPr>
        <w:t>té molt</w:t>
      </w:r>
      <w:r w:rsidR="00CE5304" w:rsidRPr="00CE5304">
        <w:rPr>
          <w:rFonts w:ascii="Arial" w:hAnsi="Arial" w:cs="Arial"/>
          <w:color w:val="000361"/>
          <w:sz w:val="20"/>
          <w:szCs w:val="20"/>
          <w:u w:val="single"/>
        </w:rPr>
        <w:t>a</w:t>
      </w:r>
      <w:r w:rsidRPr="00CE5304">
        <w:rPr>
          <w:rFonts w:ascii="Arial" w:hAnsi="Arial" w:cs="Arial"/>
          <w:color w:val="000361"/>
          <w:sz w:val="20"/>
          <w:szCs w:val="20"/>
          <w:u w:val="single"/>
        </w:rPr>
        <w:t xml:space="preserve"> </w:t>
      </w:r>
      <w:r w:rsidR="00CE5304" w:rsidRPr="00CE5304">
        <w:rPr>
          <w:rFonts w:ascii="Arial" w:hAnsi="Arial" w:cs="Arial"/>
          <w:color w:val="000361"/>
          <w:sz w:val="20"/>
          <w:szCs w:val="20"/>
          <w:u w:val="single"/>
        </w:rPr>
        <w:t>capacitat</w:t>
      </w:r>
      <w:r w:rsidRPr="00CE5304">
        <w:rPr>
          <w:rFonts w:ascii="Arial" w:hAnsi="Arial" w:cs="Arial"/>
          <w:color w:val="000361"/>
          <w:sz w:val="20"/>
          <w:szCs w:val="20"/>
          <w:u w:val="single"/>
        </w:rPr>
        <w:t xml:space="preserve"> per </w:t>
      </w:r>
      <w:r w:rsidR="00CE5304" w:rsidRPr="00CE5304">
        <w:rPr>
          <w:rFonts w:ascii="Arial" w:hAnsi="Arial" w:cs="Arial"/>
          <w:color w:val="000361"/>
          <w:sz w:val="20"/>
          <w:szCs w:val="20"/>
          <w:u w:val="single"/>
        </w:rPr>
        <w:t>endeutar-se</w:t>
      </w:r>
      <w:r>
        <w:rPr>
          <w:rFonts w:ascii="Arial" w:hAnsi="Arial" w:cs="Arial"/>
          <w:color w:val="000361"/>
          <w:sz w:val="20"/>
          <w:szCs w:val="20"/>
        </w:rPr>
        <w:t xml:space="preserve"> si vol emprendre una inversió important. De fet, amb un major endeutament, Laboratoris Hipra milloraria la rendibilitat financera perquè que el cost de recórrer al deute és inferior a </w:t>
      </w:r>
      <w:r w:rsidR="00CE5304">
        <w:rPr>
          <w:rFonts w:ascii="Arial" w:hAnsi="Arial" w:cs="Arial"/>
          <w:color w:val="000361"/>
          <w:sz w:val="20"/>
          <w:szCs w:val="20"/>
        </w:rPr>
        <w:t>la rendibilitat que ofereix el negoci</w:t>
      </w:r>
      <w:r>
        <w:rPr>
          <w:rFonts w:ascii="Arial" w:hAnsi="Arial" w:cs="Arial"/>
          <w:color w:val="000361"/>
          <w:sz w:val="20"/>
          <w:szCs w:val="20"/>
        </w:rPr>
        <w:t>.</w:t>
      </w:r>
    </w:p>
    <w:p w:rsidR="009046B2" w:rsidRDefault="009046B2" w:rsidP="009046B2">
      <w:pPr>
        <w:jc w:val="both"/>
        <w:rPr>
          <w:rFonts w:ascii="Arial" w:hAnsi="Arial" w:cs="Arial"/>
          <w:color w:val="000361"/>
          <w:sz w:val="20"/>
          <w:szCs w:val="20"/>
        </w:rPr>
      </w:pPr>
    </w:p>
    <w:p w:rsidR="009046B2" w:rsidRDefault="009046B2" w:rsidP="009046B2">
      <w:pPr>
        <w:jc w:val="both"/>
        <w:rPr>
          <w:rFonts w:ascii="Arial" w:hAnsi="Arial" w:cs="Arial"/>
          <w:color w:val="000361"/>
          <w:sz w:val="20"/>
          <w:szCs w:val="20"/>
        </w:rPr>
      </w:pPr>
      <w:r>
        <w:rPr>
          <w:rFonts w:ascii="Arial" w:hAnsi="Arial" w:cs="Arial"/>
          <w:color w:val="000361"/>
          <w:sz w:val="20"/>
          <w:szCs w:val="20"/>
        </w:rPr>
        <w:t>El nivell d’</w:t>
      </w:r>
      <w:r w:rsidRPr="00CE5304">
        <w:rPr>
          <w:rFonts w:ascii="Arial" w:hAnsi="Arial" w:cs="Arial"/>
          <w:color w:val="000361"/>
          <w:sz w:val="20"/>
          <w:szCs w:val="20"/>
          <w:u w:val="single"/>
        </w:rPr>
        <w:t>especialització</w:t>
      </w:r>
      <w:r>
        <w:rPr>
          <w:rFonts w:ascii="Arial" w:hAnsi="Arial" w:cs="Arial"/>
          <w:color w:val="000361"/>
          <w:sz w:val="20"/>
          <w:szCs w:val="20"/>
        </w:rPr>
        <w:t xml:space="preserve"> en vacunes</w:t>
      </w:r>
      <w:r w:rsidR="00B80FAD">
        <w:rPr>
          <w:rFonts w:ascii="Arial" w:hAnsi="Arial" w:cs="Arial"/>
          <w:color w:val="000361"/>
          <w:sz w:val="20"/>
          <w:szCs w:val="20"/>
        </w:rPr>
        <w:t xml:space="preserve"> i la seva </w:t>
      </w:r>
      <w:r w:rsidR="00B80FAD" w:rsidRPr="00CE5304">
        <w:rPr>
          <w:rFonts w:ascii="Arial" w:hAnsi="Arial" w:cs="Arial"/>
          <w:color w:val="000361"/>
          <w:sz w:val="20"/>
          <w:szCs w:val="20"/>
          <w:u w:val="single"/>
        </w:rPr>
        <w:t>expansió comercial internacional</w:t>
      </w:r>
      <w:r>
        <w:rPr>
          <w:rFonts w:ascii="Arial" w:hAnsi="Arial" w:cs="Arial"/>
          <w:color w:val="000361"/>
          <w:sz w:val="20"/>
          <w:szCs w:val="20"/>
        </w:rPr>
        <w:t xml:space="preserve"> és fonamental per explicar el creixement que ha experimentat l’empresa i </w:t>
      </w:r>
      <w:r w:rsidR="00B80FAD">
        <w:rPr>
          <w:rFonts w:ascii="Arial" w:hAnsi="Arial" w:cs="Arial"/>
          <w:color w:val="000361"/>
          <w:sz w:val="20"/>
          <w:szCs w:val="20"/>
        </w:rPr>
        <w:t>cal seguir en aquesta línia per afrontar el futur. en el futur.</w:t>
      </w:r>
      <w:r>
        <w:rPr>
          <w:rFonts w:ascii="Arial" w:hAnsi="Arial" w:cs="Arial"/>
          <w:color w:val="000361"/>
          <w:sz w:val="20"/>
          <w:szCs w:val="20"/>
        </w:rPr>
        <w:t xml:space="preserve">  </w:t>
      </w:r>
    </w:p>
    <w:p w:rsidR="00B80FAD" w:rsidRDefault="00B80FAD" w:rsidP="009046B2">
      <w:pPr>
        <w:jc w:val="both"/>
        <w:rPr>
          <w:rFonts w:ascii="Arial" w:hAnsi="Arial" w:cs="Arial"/>
          <w:color w:val="000361"/>
          <w:sz w:val="20"/>
          <w:szCs w:val="20"/>
        </w:rPr>
      </w:pPr>
    </w:p>
    <w:p w:rsidR="00B80FAD" w:rsidRPr="00B80FAD" w:rsidRDefault="00B80FAD" w:rsidP="00B80FAD">
      <w:pPr>
        <w:pStyle w:val="Prrafodelista"/>
        <w:numPr>
          <w:ilvl w:val="0"/>
          <w:numId w:val="33"/>
        </w:numPr>
        <w:jc w:val="both"/>
        <w:rPr>
          <w:rFonts w:ascii="Arial" w:hAnsi="Arial" w:cs="Arial"/>
          <w:color w:val="000361"/>
          <w:sz w:val="20"/>
          <w:szCs w:val="20"/>
          <w:u w:val="single"/>
        </w:rPr>
      </w:pPr>
      <w:r w:rsidRPr="00B80FAD">
        <w:rPr>
          <w:rFonts w:ascii="Arial" w:hAnsi="Arial" w:cs="Arial"/>
          <w:color w:val="000361"/>
          <w:sz w:val="20"/>
          <w:szCs w:val="20"/>
          <w:u w:val="single"/>
        </w:rPr>
        <w:t>Explotar oportunitats</w:t>
      </w:r>
    </w:p>
    <w:p w:rsidR="00B80FAD" w:rsidRDefault="00B80FAD" w:rsidP="00B80FAD">
      <w:pPr>
        <w:jc w:val="both"/>
        <w:rPr>
          <w:rFonts w:ascii="Arial" w:hAnsi="Arial" w:cs="Arial"/>
          <w:color w:val="000361"/>
          <w:sz w:val="20"/>
          <w:szCs w:val="20"/>
        </w:rPr>
      </w:pPr>
    </w:p>
    <w:p w:rsidR="00B80FAD" w:rsidRPr="00B80FAD" w:rsidRDefault="00B80FAD" w:rsidP="00B80FAD">
      <w:pPr>
        <w:jc w:val="both"/>
        <w:rPr>
          <w:rFonts w:ascii="Arial" w:hAnsi="Arial" w:cs="Arial"/>
          <w:color w:val="000361"/>
          <w:sz w:val="20"/>
          <w:szCs w:val="20"/>
        </w:rPr>
      </w:pPr>
      <w:r w:rsidRPr="00CE5304">
        <w:rPr>
          <w:rFonts w:ascii="Arial" w:hAnsi="Arial" w:cs="Arial"/>
          <w:color w:val="000361"/>
          <w:sz w:val="20"/>
          <w:szCs w:val="20"/>
          <w:u w:val="single"/>
        </w:rPr>
        <w:t>Possibilitat d’accedir a nous mercats</w:t>
      </w:r>
      <w:r>
        <w:rPr>
          <w:rFonts w:ascii="Arial" w:hAnsi="Arial" w:cs="Arial"/>
          <w:color w:val="000361"/>
          <w:sz w:val="20"/>
          <w:szCs w:val="20"/>
        </w:rPr>
        <w:t>, ja sigui el d’animals domèstics que aquests últims anys ha crescut més que el d’animals de producció, o bé amb la participació mercat de vacunes humanes per mitjà d’elaborar una vacuna pel coronavirus que tanta repercussió ha tingut als mitjans aquests últims dies. L’empresa disposa de la tecnologia i coneixement per investigar i produir aquesta vacuna que pot impulsar Hipra a una altra dimensió. I les inversions necessàries pel seu desenvolupament poden finançar-se a través del deute aprofitant els baixos tipus d’interès i la millora de la rendibilitat financera que això suposaria.</w:t>
      </w:r>
    </w:p>
    <w:p w:rsidR="00106DD6" w:rsidRPr="002F053A" w:rsidRDefault="00106DD6" w:rsidP="002D48FA">
      <w:pPr>
        <w:jc w:val="both"/>
        <w:rPr>
          <w:rFonts w:ascii="Arial" w:hAnsi="Arial" w:cs="Arial"/>
          <w:b/>
          <w:color w:val="000361"/>
        </w:rPr>
      </w:pPr>
    </w:p>
    <w:p w:rsidR="00AB387A" w:rsidRPr="002F053A" w:rsidRDefault="00AB387A" w:rsidP="002D48FA">
      <w:pPr>
        <w:jc w:val="both"/>
        <w:rPr>
          <w:rFonts w:ascii="Arial" w:hAnsi="Arial" w:cs="Arial"/>
          <w:b/>
          <w:color w:val="000361"/>
        </w:rPr>
      </w:pPr>
    </w:p>
    <w:p w:rsidR="00AB387A" w:rsidRPr="00BE2EBE" w:rsidRDefault="00BE2EBE" w:rsidP="00BE2EBE">
      <w:pPr>
        <w:jc w:val="both"/>
        <w:rPr>
          <w:rFonts w:ascii="Arial" w:hAnsi="Arial" w:cs="Arial"/>
          <w:b/>
          <w:color w:val="000361"/>
        </w:rPr>
      </w:pPr>
      <w:r w:rsidRPr="00BE2EBE">
        <w:rPr>
          <w:rFonts w:ascii="Arial" w:hAnsi="Arial" w:cs="Arial"/>
          <w:b/>
          <w:color w:val="000361"/>
        </w:rPr>
        <w:t>6.</w:t>
      </w:r>
      <w:r>
        <w:rPr>
          <w:rFonts w:ascii="Arial" w:hAnsi="Arial" w:cs="Arial"/>
          <w:b/>
          <w:color w:val="000361"/>
        </w:rPr>
        <w:t xml:space="preserve"> </w:t>
      </w:r>
      <w:r w:rsidRPr="00BE2EBE">
        <w:rPr>
          <w:rFonts w:ascii="Arial" w:hAnsi="Arial" w:cs="Arial"/>
          <w:b/>
          <w:color w:val="000361"/>
        </w:rPr>
        <w:t>VALORACIONS I AGRAÏMENTS</w:t>
      </w:r>
    </w:p>
    <w:p w:rsidR="00106DD6" w:rsidRPr="002F053A" w:rsidRDefault="00106DD6" w:rsidP="002D48FA">
      <w:pPr>
        <w:jc w:val="both"/>
        <w:rPr>
          <w:rFonts w:ascii="Arial" w:hAnsi="Arial" w:cs="Arial"/>
          <w:b/>
          <w:color w:val="000361"/>
        </w:rPr>
      </w:pPr>
    </w:p>
    <w:p w:rsidR="00F42B32" w:rsidRDefault="00EC3C36" w:rsidP="002D48FA">
      <w:pPr>
        <w:jc w:val="both"/>
        <w:rPr>
          <w:rFonts w:ascii="Arial" w:hAnsi="Arial" w:cs="Arial"/>
          <w:color w:val="000361"/>
          <w:sz w:val="20"/>
          <w:szCs w:val="20"/>
        </w:rPr>
      </w:pPr>
      <w:r>
        <w:rPr>
          <w:rFonts w:ascii="Arial" w:hAnsi="Arial" w:cs="Arial"/>
          <w:color w:val="000361"/>
          <w:sz w:val="20"/>
          <w:szCs w:val="20"/>
        </w:rPr>
        <w:t xml:space="preserve">Aquest projecte de final de grau ha estat enriquidor des d’un punt de vista personal i acadèmic. Durant la trajectòria acadèmica he anat tractant de manera específica a través d’exercicis i proves d’avaluació </w:t>
      </w:r>
      <w:r>
        <w:rPr>
          <w:rFonts w:ascii="Arial" w:hAnsi="Arial" w:cs="Arial"/>
          <w:color w:val="000361"/>
          <w:sz w:val="20"/>
          <w:szCs w:val="20"/>
        </w:rPr>
        <w:lastRenderedPageBreak/>
        <w:t xml:space="preserve">aquells aspectes més importants que formen part d’aquest treball, no obstant el fet de tractar-ho de manera agregada  amb l’objectiu de respondre a un fet concret m’ha </w:t>
      </w:r>
      <w:r w:rsidR="006012D2">
        <w:rPr>
          <w:rFonts w:ascii="Arial" w:hAnsi="Arial" w:cs="Arial"/>
          <w:color w:val="000361"/>
          <w:sz w:val="20"/>
          <w:szCs w:val="20"/>
        </w:rPr>
        <w:t>permès</w:t>
      </w:r>
      <w:r>
        <w:rPr>
          <w:rFonts w:ascii="Arial" w:hAnsi="Arial" w:cs="Arial"/>
          <w:color w:val="000361"/>
          <w:sz w:val="20"/>
          <w:szCs w:val="20"/>
        </w:rPr>
        <w:t xml:space="preserve"> no només l’aplicació de competències adquirides amb el grau, també he millorat la meva comprensió i he adquirit nous coneixements en la matèria.</w:t>
      </w:r>
    </w:p>
    <w:p w:rsidR="00EC3C36" w:rsidRDefault="00EC3C36" w:rsidP="002D48FA">
      <w:pPr>
        <w:jc w:val="both"/>
        <w:rPr>
          <w:rFonts w:ascii="Arial" w:hAnsi="Arial" w:cs="Arial"/>
          <w:color w:val="000361"/>
          <w:sz w:val="20"/>
          <w:szCs w:val="20"/>
        </w:rPr>
      </w:pPr>
    </w:p>
    <w:p w:rsidR="00EC3C36" w:rsidRDefault="00CD104D" w:rsidP="002D48FA">
      <w:pPr>
        <w:jc w:val="both"/>
        <w:rPr>
          <w:rFonts w:ascii="Arial" w:hAnsi="Arial" w:cs="Arial"/>
          <w:color w:val="000361"/>
          <w:sz w:val="20"/>
          <w:szCs w:val="20"/>
        </w:rPr>
      </w:pPr>
      <w:r>
        <w:rPr>
          <w:rFonts w:ascii="Arial" w:hAnsi="Arial" w:cs="Arial"/>
          <w:color w:val="000361"/>
          <w:sz w:val="20"/>
          <w:szCs w:val="20"/>
        </w:rPr>
        <w:t>He estat</w:t>
      </w:r>
      <w:r w:rsidR="00257376">
        <w:rPr>
          <w:rFonts w:ascii="Arial" w:hAnsi="Arial" w:cs="Arial"/>
          <w:color w:val="000361"/>
          <w:sz w:val="20"/>
          <w:szCs w:val="20"/>
        </w:rPr>
        <w:t xml:space="preserve"> motivat durant l’elaboració de la memòria, sentia curiositat per veure i analitzar els estats financers què hi ha darrera de cada una de les empreses </w:t>
      </w:r>
      <w:r w:rsidR="00AE1635">
        <w:rPr>
          <w:rFonts w:ascii="Arial" w:hAnsi="Arial" w:cs="Arial"/>
          <w:color w:val="000361"/>
          <w:sz w:val="20"/>
          <w:szCs w:val="20"/>
        </w:rPr>
        <w:t>presents</w:t>
      </w:r>
      <w:r w:rsidR="00257376">
        <w:rPr>
          <w:rFonts w:ascii="Arial" w:hAnsi="Arial" w:cs="Arial"/>
          <w:color w:val="000361"/>
          <w:sz w:val="20"/>
          <w:szCs w:val="20"/>
        </w:rPr>
        <w:t xml:space="preserve"> en aquest </w:t>
      </w:r>
      <w:r w:rsidR="00977421">
        <w:rPr>
          <w:rFonts w:ascii="Arial" w:hAnsi="Arial" w:cs="Arial"/>
          <w:color w:val="000361"/>
          <w:sz w:val="20"/>
          <w:szCs w:val="20"/>
        </w:rPr>
        <w:t>estudi</w:t>
      </w:r>
      <w:r w:rsidR="00257376">
        <w:rPr>
          <w:rFonts w:ascii="Arial" w:hAnsi="Arial" w:cs="Arial"/>
          <w:color w:val="000361"/>
          <w:sz w:val="20"/>
          <w:szCs w:val="20"/>
        </w:rPr>
        <w:t>. Per altra banda, l’elaboració del projecte no ha estat exempt de dificultats: conglomerats empresarials que realitzen moviments tant grans entre empreses</w:t>
      </w:r>
      <w:r w:rsidR="00AE747D">
        <w:rPr>
          <w:rFonts w:ascii="Arial" w:hAnsi="Arial" w:cs="Arial"/>
          <w:color w:val="000361"/>
          <w:sz w:val="20"/>
          <w:szCs w:val="20"/>
        </w:rPr>
        <w:t xml:space="preserve"> que</w:t>
      </w:r>
      <w:r w:rsidR="00257376">
        <w:rPr>
          <w:rFonts w:ascii="Arial" w:hAnsi="Arial" w:cs="Arial"/>
          <w:color w:val="000361"/>
          <w:sz w:val="20"/>
          <w:szCs w:val="20"/>
        </w:rPr>
        <w:t xml:space="preserve"> impossibilit</w:t>
      </w:r>
      <w:r w:rsidR="00AE747D">
        <w:rPr>
          <w:rFonts w:ascii="Arial" w:hAnsi="Arial" w:cs="Arial"/>
          <w:color w:val="000361"/>
          <w:sz w:val="20"/>
          <w:szCs w:val="20"/>
        </w:rPr>
        <w:t>en</w:t>
      </w:r>
      <w:r w:rsidR="00257376">
        <w:rPr>
          <w:rFonts w:ascii="Arial" w:hAnsi="Arial" w:cs="Arial"/>
          <w:color w:val="000361"/>
          <w:sz w:val="20"/>
          <w:szCs w:val="20"/>
        </w:rPr>
        <w:t xml:space="preserve"> un anàlisi de l’evolució real d’aquestes em van portar a modificar la proposta inicial, i la falta d’informació financera en altres casos també  ha estat un handicap.</w:t>
      </w:r>
    </w:p>
    <w:p w:rsidR="00601E38" w:rsidRDefault="00601E38" w:rsidP="002D48FA">
      <w:pPr>
        <w:jc w:val="both"/>
        <w:rPr>
          <w:rFonts w:ascii="Arial" w:hAnsi="Arial" w:cs="Arial"/>
          <w:color w:val="000361"/>
          <w:sz w:val="20"/>
          <w:szCs w:val="20"/>
        </w:rPr>
      </w:pPr>
      <w:bookmarkStart w:id="6" w:name="_GoBack"/>
      <w:bookmarkEnd w:id="6"/>
    </w:p>
    <w:p w:rsidR="00601E38" w:rsidRDefault="00601E38" w:rsidP="002D48FA">
      <w:pPr>
        <w:jc w:val="both"/>
        <w:rPr>
          <w:rFonts w:ascii="Arial" w:hAnsi="Arial" w:cs="Arial"/>
          <w:color w:val="000361"/>
          <w:sz w:val="20"/>
          <w:szCs w:val="20"/>
        </w:rPr>
      </w:pPr>
      <w:r>
        <w:rPr>
          <w:rFonts w:ascii="Arial" w:hAnsi="Arial" w:cs="Arial"/>
          <w:color w:val="000361"/>
          <w:sz w:val="20"/>
          <w:szCs w:val="20"/>
        </w:rPr>
        <w:t xml:space="preserve">El temps i la dedicació al treball durant els darrers mesos ha sigut important. Un temps que no he pogut dedicar a la </w:t>
      </w:r>
      <w:r w:rsidR="006012D2">
        <w:rPr>
          <w:rFonts w:ascii="Arial" w:hAnsi="Arial" w:cs="Arial"/>
          <w:color w:val="000361"/>
          <w:sz w:val="20"/>
          <w:szCs w:val="20"/>
        </w:rPr>
        <w:t>família</w:t>
      </w:r>
      <w:r w:rsidR="00977421">
        <w:rPr>
          <w:rFonts w:ascii="Arial" w:hAnsi="Arial" w:cs="Arial"/>
          <w:color w:val="000361"/>
          <w:sz w:val="20"/>
          <w:szCs w:val="20"/>
        </w:rPr>
        <w:t>,</w:t>
      </w:r>
      <w:r>
        <w:rPr>
          <w:rFonts w:ascii="Arial" w:hAnsi="Arial" w:cs="Arial"/>
          <w:color w:val="000361"/>
          <w:sz w:val="20"/>
          <w:szCs w:val="20"/>
        </w:rPr>
        <w:t xml:space="preserve"> per tant els agraeixo</w:t>
      </w:r>
      <w:r w:rsidR="00977421">
        <w:rPr>
          <w:rFonts w:ascii="Arial" w:hAnsi="Arial" w:cs="Arial"/>
          <w:color w:val="000361"/>
          <w:sz w:val="20"/>
          <w:szCs w:val="20"/>
        </w:rPr>
        <w:t xml:space="preserve"> i demano disculpes a parts iguals per</w:t>
      </w:r>
      <w:r>
        <w:rPr>
          <w:rFonts w:ascii="Arial" w:hAnsi="Arial" w:cs="Arial"/>
          <w:color w:val="000361"/>
          <w:sz w:val="20"/>
          <w:szCs w:val="20"/>
        </w:rPr>
        <w:t xml:space="preserve"> la seva comprensió</w:t>
      </w:r>
      <w:r w:rsidR="00977421">
        <w:rPr>
          <w:rFonts w:ascii="Arial" w:hAnsi="Arial" w:cs="Arial"/>
          <w:color w:val="000361"/>
          <w:sz w:val="20"/>
          <w:szCs w:val="20"/>
        </w:rPr>
        <w:t>,</w:t>
      </w:r>
      <w:r>
        <w:rPr>
          <w:rFonts w:ascii="Arial" w:hAnsi="Arial" w:cs="Arial"/>
          <w:color w:val="000361"/>
          <w:sz w:val="20"/>
          <w:szCs w:val="20"/>
        </w:rPr>
        <w:t xml:space="preserve"> suport, </w:t>
      </w:r>
      <w:r w:rsidR="00977421">
        <w:rPr>
          <w:rFonts w:ascii="Arial" w:hAnsi="Arial" w:cs="Arial"/>
          <w:color w:val="000361"/>
          <w:sz w:val="20"/>
          <w:szCs w:val="20"/>
        </w:rPr>
        <w:t>i paciència</w:t>
      </w:r>
      <w:r>
        <w:rPr>
          <w:rFonts w:ascii="Arial" w:hAnsi="Arial" w:cs="Arial"/>
          <w:color w:val="000361"/>
          <w:sz w:val="20"/>
          <w:szCs w:val="20"/>
        </w:rPr>
        <w:t xml:space="preserve">. Gràcies també al meu tutor Francesc Martí Palomares pel seu interès i </w:t>
      </w:r>
      <w:r w:rsidR="009A1E21">
        <w:rPr>
          <w:rFonts w:ascii="Arial" w:hAnsi="Arial" w:cs="Arial"/>
          <w:color w:val="000361"/>
          <w:sz w:val="20"/>
          <w:szCs w:val="20"/>
        </w:rPr>
        <w:t>recomanacions</w:t>
      </w:r>
      <w:r>
        <w:rPr>
          <w:rFonts w:ascii="Arial" w:hAnsi="Arial" w:cs="Arial"/>
          <w:color w:val="000361"/>
          <w:sz w:val="20"/>
          <w:szCs w:val="20"/>
        </w:rPr>
        <w:t xml:space="preserve"> durant l’elaboració del projecte.</w:t>
      </w:r>
    </w:p>
    <w:p w:rsidR="00EC3C36" w:rsidRDefault="00EC3C36" w:rsidP="002D48FA">
      <w:pPr>
        <w:jc w:val="both"/>
        <w:rPr>
          <w:rFonts w:ascii="Arial" w:hAnsi="Arial" w:cs="Arial"/>
          <w:b/>
          <w:color w:val="000361"/>
        </w:rPr>
      </w:pPr>
    </w:p>
    <w:p w:rsidR="00EC3C36" w:rsidRDefault="00BE2EBE" w:rsidP="002D48FA">
      <w:pPr>
        <w:jc w:val="both"/>
        <w:rPr>
          <w:rFonts w:ascii="Arial" w:hAnsi="Arial" w:cs="Arial"/>
          <w:b/>
          <w:color w:val="000361"/>
        </w:rPr>
      </w:pPr>
      <w:r>
        <w:rPr>
          <w:rFonts w:ascii="Arial" w:hAnsi="Arial" w:cs="Arial"/>
          <w:b/>
          <w:color w:val="000361"/>
        </w:rPr>
        <w:t>7. AUTOAVALUACIÓ</w:t>
      </w:r>
    </w:p>
    <w:p w:rsidR="00976173" w:rsidRDefault="00976173" w:rsidP="002D48FA">
      <w:pPr>
        <w:jc w:val="both"/>
        <w:rPr>
          <w:rFonts w:ascii="Arial" w:hAnsi="Arial" w:cs="Arial"/>
          <w:b/>
          <w:color w:val="000361"/>
        </w:rPr>
      </w:pPr>
    </w:p>
    <w:p w:rsidR="00C0578D" w:rsidRDefault="00976173" w:rsidP="002D48FA">
      <w:pPr>
        <w:jc w:val="both"/>
        <w:rPr>
          <w:rFonts w:ascii="Arial" w:hAnsi="Arial" w:cs="Arial"/>
          <w:color w:val="000361"/>
          <w:sz w:val="20"/>
          <w:szCs w:val="20"/>
        </w:rPr>
      </w:pPr>
      <w:r>
        <w:rPr>
          <w:rFonts w:ascii="Arial" w:hAnsi="Arial" w:cs="Arial"/>
          <w:color w:val="000361"/>
          <w:sz w:val="20"/>
          <w:szCs w:val="20"/>
        </w:rPr>
        <w:t xml:space="preserve">L’elaboració d’aquest projecte final de grau ha estat tot un repte personal pel volum de treball que representa i per tant el temps dedicat i també perquè he intentat aplicar totes aquelles competències docents adquirides amb el grau i també </w:t>
      </w:r>
      <w:r w:rsidR="00C0578D">
        <w:rPr>
          <w:rFonts w:ascii="Arial" w:hAnsi="Arial" w:cs="Arial"/>
          <w:color w:val="000361"/>
          <w:sz w:val="20"/>
          <w:szCs w:val="20"/>
        </w:rPr>
        <w:t>aquelles</w:t>
      </w:r>
      <w:r>
        <w:rPr>
          <w:rFonts w:ascii="Arial" w:hAnsi="Arial" w:cs="Arial"/>
          <w:color w:val="000361"/>
          <w:sz w:val="20"/>
          <w:szCs w:val="20"/>
        </w:rPr>
        <w:t xml:space="preserve"> que he </w:t>
      </w:r>
      <w:r w:rsidR="00C0578D">
        <w:rPr>
          <w:rFonts w:ascii="Arial" w:hAnsi="Arial" w:cs="Arial"/>
          <w:color w:val="000361"/>
          <w:sz w:val="20"/>
          <w:szCs w:val="20"/>
        </w:rPr>
        <w:t>desenvolupat</w:t>
      </w:r>
      <w:r>
        <w:rPr>
          <w:rFonts w:ascii="Arial" w:hAnsi="Arial" w:cs="Arial"/>
          <w:color w:val="000361"/>
          <w:sz w:val="20"/>
          <w:szCs w:val="20"/>
        </w:rPr>
        <w:t xml:space="preserve"> </w:t>
      </w:r>
      <w:r w:rsidR="00C0578D">
        <w:rPr>
          <w:rFonts w:ascii="Arial" w:hAnsi="Arial" w:cs="Arial"/>
          <w:color w:val="000361"/>
          <w:sz w:val="20"/>
          <w:szCs w:val="20"/>
        </w:rPr>
        <w:t>a nivell personal i professional.</w:t>
      </w:r>
    </w:p>
    <w:p w:rsidR="00C0578D" w:rsidRDefault="00C0578D" w:rsidP="002D48FA">
      <w:pPr>
        <w:jc w:val="both"/>
        <w:rPr>
          <w:rFonts w:ascii="Arial" w:hAnsi="Arial" w:cs="Arial"/>
          <w:color w:val="000361"/>
          <w:sz w:val="20"/>
          <w:szCs w:val="20"/>
        </w:rPr>
      </w:pPr>
    </w:p>
    <w:p w:rsidR="00C0578D" w:rsidRDefault="00C0578D" w:rsidP="002D48FA">
      <w:pPr>
        <w:jc w:val="both"/>
        <w:rPr>
          <w:rFonts w:ascii="Arial" w:hAnsi="Arial" w:cs="Arial"/>
          <w:color w:val="000361"/>
          <w:sz w:val="20"/>
          <w:szCs w:val="20"/>
        </w:rPr>
      </w:pPr>
      <w:r>
        <w:rPr>
          <w:rFonts w:ascii="Arial" w:hAnsi="Arial" w:cs="Arial"/>
          <w:color w:val="000361"/>
          <w:sz w:val="20"/>
          <w:szCs w:val="20"/>
        </w:rPr>
        <w:t>No ha estat gens fàcil, el meu interès personal per iniciar els estudis de l’economia em va portar a matricular-me en aquesta especialitat fa més de 15 anys. Llavors ja treballava i a la vegada iniciava una nova etapa familiar amb la meva parella i posteriorment amb els meus fills això ha estat un condicionant perquè hagi avançat molt lentament en la consecució dels crèdits. És per aquest motiu pel qual el projecte m’ha obligat a tornar a repassar conceptes i lliçons que actualment tenia oblidades sent una dificultat afegida.</w:t>
      </w:r>
    </w:p>
    <w:p w:rsidR="00C0578D" w:rsidRDefault="00C0578D" w:rsidP="002D48FA">
      <w:pPr>
        <w:jc w:val="both"/>
        <w:rPr>
          <w:rFonts w:ascii="Arial" w:hAnsi="Arial" w:cs="Arial"/>
          <w:color w:val="000361"/>
          <w:sz w:val="20"/>
          <w:szCs w:val="20"/>
        </w:rPr>
      </w:pPr>
    </w:p>
    <w:p w:rsidR="00976173" w:rsidRDefault="00CE4D9B" w:rsidP="002D48FA">
      <w:pPr>
        <w:jc w:val="both"/>
        <w:rPr>
          <w:rFonts w:ascii="Arial" w:hAnsi="Arial" w:cs="Arial"/>
          <w:color w:val="000361"/>
          <w:sz w:val="20"/>
          <w:szCs w:val="20"/>
        </w:rPr>
      </w:pPr>
      <w:r>
        <w:rPr>
          <w:rFonts w:ascii="Arial" w:hAnsi="Arial" w:cs="Arial"/>
          <w:color w:val="000361"/>
          <w:sz w:val="20"/>
          <w:szCs w:val="20"/>
        </w:rPr>
        <w:t xml:space="preserve">En tot cas, he intentat estructurar i planificar les tasques tant bé com he </w:t>
      </w:r>
      <w:r w:rsidR="006012D2">
        <w:rPr>
          <w:rFonts w:ascii="Arial" w:hAnsi="Arial" w:cs="Arial"/>
          <w:color w:val="000361"/>
          <w:sz w:val="20"/>
          <w:szCs w:val="20"/>
        </w:rPr>
        <w:t>sabut</w:t>
      </w:r>
      <w:r w:rsidR="00976173">
        <w:rPr>
          <w:rFonts w:ascii="Arial" w:hAnsi="Arial" w:cs="Arial"/>
          <w:color w:val="000361"/>
          <w:sz w:val="20"/>
          <w:szCs w:val="20"/>
        </w:rPr>
        <w:t xml:space="preserve"> </w:t>
      </w:r>
      <w:r>
        <w:rPr>
          <w:rFonts w:ascii="Arial" w:hAnsi="Arial" w:cs="Arial"/>
          <w:color w:val="000361"/>
          <w:sz w:val="20"/>
          <w:szCs w:val="20"/>
        </w:rPr>
        <w:t>(ajudat per les entregues parcials de les activitats) i m’he implicat molt en la tasca de recerca de informació perquè d’això en depèn el resultat final del treball. Un cop immers en l’elaboració del contingut m’ha sorprès que el fet de tractar i visualitzar l’anàlisi d’una empresa de manera complerta m’ha portat a aprendre i entendre i relacionar conceptes ampliant els meus coneixements.</w:t>
      </w:r>
    </w:p>
    <w:p w:rsidR="00AE1EFE" w:rsidRDefault="00AE1EFE" w:rsidP="002D48FA">
      <w:pPr>
        <w:jc w:val="both"/>
        <w:rPr>
          <w:rFonts w:ascii="Arial" w:hAnsi="Arial" w:cs="Arial"/>
          <w:color w:val="000361"/>
          <w:sz w:val="20"/>
          <w:szCs w:val="20"/>
        </w:rPr>
      </w:pPr>
    </w:p>
    <w:p w:rsidR="001B7CBB" w:rsidRDefault="00AE1EFE" w:rsidP="002D48FA">
      <w:pPr>
        <w:jc w:val="both"/>
        <w:rPr>
          <w:rFonts w:ascii="Arial" w:hAnsi="Arial" w:cs="Arial"/>
          <w:color w:val="000361"/>
          <w:sz w:val="20"/>
          <w:szCs w:val="20"/>
        </w:rPr>
      </w:pPr>
      <w:r>
        <w:rPr>
          <w:rFonts w:ascii="Arial" w:hAnsi="Arial" w:cs="Arial"/>
          <w:color w:val="000361"/>
          <w:sz w:val="20"/>
          <w:szCs w:val="20"/>
        </w:rPr>
        <w:t>Durant el transcurs del projecte he hagut de prendre decisions determinants, en alguns casos l’escassetat d’informació dels estats financers</w:t>
      </w:r>
      <w:r w:rsidR="00E03921">
        <w:rPr>
          <w:rFonts w:ascii="Arial" w:hAnsi="Arial" w:cs="Arial"/>
          <w:color w:val="000361"/>
          <w:sz w:val="20"/>
          <w:szCs w:val="20"/>
        </w:rPr>
        <w:t xml:space="preserve"> d’algunes empreses representen entrebancs que t’obliguen a </w:t>
      </w:r>
      <w:r w:rsidR="006012D2">
        <w:rPr>
          <w:rFonts w:ascii="Arial" w:hAnsi="Arial" w:cs="Arial"/>
          <w:color w:val="000361"/>
          <w:sz w:val="20"/>
          <w:szCs w:val="20"/>
        </w:rPr>
        <w:t>re-direccionar</w:t>
      </w:r>
      <w:r w:rsidR="001B7CBB">
        <w:rPr>
          <w:rFonts w:ascii="Arial" w:hAnsi="Arial" w:cs="Arial"/>
          <w:color w:val="000361"/>
          <w:sz w:val="20"/>
          <w:szCs w:val="20"/>
        </w:rPr>
        <w:t xml:space="preserve"> el treball. I fent autocrítica, m’hagués agradat poder acotar amb més </w:t>
      </w:r>
      <w:r w:rsidR="006012D2">
        <w:rPr>
          <w:rFonts w:ascii="Arial" w:hAnsi="Arial" w:cs="Arial"/>
          <w:color w:val="000361"/>
          <w:sz w:val="20"/>
          <w:szCs w:val="20"/>
        </w:rPr>
        <w:t>precisió</w:t>
      </w:r>
      <w:r w:rsidR="001B7CBB">
        <w:rPr>
          <w:rFonts w:ascii="Arial" w:hAnsi="Arial" w:cs="Arial"/>
          <w:color w:val="000361"/>
          <w:sz w:val="20"/>
          <w:szCs w:val="20"/>
        </w:rPr>
        <w:t xml:space="preserve"> el segment específic on intervé l’empresa analitzada, això hauria facilitat la identificació dels seus competidors més directes.</w:t>
      </w:r>
    </w:p>
    <w:p w:rsidR="001B7CBB" w:rsidRDefault="001B7CBB" w:rsidP="002D48FA">
      <w:pPr>
        <w:jc w:val="both"/>
        <w:rPr>
          <w:rFonts w:ascii="Arial" w:hAnsi="Arial" w:cs="Arial"/>
          <w:color w:val="000361"/>
          <w:sz w:val="20"/>
          <w:szCs w:val="20"/>
        </w:rPr>
      </w:pPr>
    </w:p>
    <w:p w:rsidR="00AE1EFE" w:rsidRPr="00976173" w:rsidRDefault="001B7CBB" w:rsidP="002D48FA">
      <w:pPr>
        <w:jc w:val="both"/>
        <w:rPr>
          <w:rFonts w:ascii="Arial" w:hAnsi="Arial" w:cs="Arial"/>
          <w:color w:val="000361"/>
          <w:sz w:val="20"/>
          <w:szCs w:val="20"/>
        </w:rPr>
      </w:pPr>
      <w:r>
        <w:rPr>
          <w:rFonts w:ascii="Arial" w:hAnsi="Arial" w:cs="Arial"/>
          <w:color w:val="000361"/>
          <w:sz w:val="20"/>
          <w:szCs w:val="20"/>
        </w:rPr>
        <w:t>Penso que amb l’elaboració d’aquest estudi s’assoleix l’objectiu principal, que és donar resposta a la pregunta inicial</w:t>
      </w:r>
      <w:r w:rsidR="00650475">
        <w:rPr>
          <w:rFonts w:ascii="Arial" w:hAnsi="Arial" w:cs="Arial"/>
          <w:color w:val="000361"/>
          <w:sz w:val="20"/>
          <w:szCs w:val="20"/>
        </w:rPr>
        <w:t xml:space="preserve"> a través de l’anàlisi econòmic i financer de l’empresa.</w:t>
      </w:r>
      <w:r>
        <w:rPr>
          <w:rFonts w:ascii="Arial" w:hAnsi="Arial" w:cs="Arial"/>
          <w:color w:val="000361"/>
          <w:sz w:val="20"/>
          <w:szCs w:val="20"/>
        </w:rPr>
        <w:t xml:space="preserve">  </w:t>
      </w:r>
    </w:p>
    <w:p w:rsidR="00976173" w:rsidRDefault="00976173" w:rsidP="002D48FA">
      <w:pPr>
        <w:jc w:val="both"/>
        <w:rPr>
          <w:rFonts w:ascii="Arial" w:hAnsi="Arial" w:cs="Arial"/>
          <w:b/>
          <w:color w:val="000361"/>
        </w:rPr>
      </w:pPr>
    </w:p>
    <w:p w:rsidR="0006190B" w:rsidRDefault="0006190B" w:rsidP="002D48FA">
      <w:pPr>
        <w:jc w:val="both"/>
        <w:rPr>
          <w:rFonts w:ascii="Arial" w:hAnsi="Arial" w:cs="Arial"/>
          <w:b/>
          <w:color w:val="000361"/>
        </w:rPr>
      </w:pPr>
      <w:r>
        <w:rPr>
          <w:rFonts w:ascii="Arial" w:hAnsi="Arial" w:cs="Arial"/>
          <w:b/>
          <w:color w:val="000361"/>
        </w:rPr>
        <w:br w:type="page"/>
      </w:r>
    </w:p>
    <w:p w:rsidR="00AB387A" w:rsidRPr="002F053A" w:rsidRDefault="00BE2EBE" w:rsidP="002D48FA">
      <w:pPr>
        <w:jc w:val="both"/>
        <w:rPr>
          <w:rFonts w:ascii="Arial" w:hAnsi="Arial" w:cs="Arial"/>
          <w:b/>
          <w:color w:val="000361"/>
        </w:rPr>
      </w:pPr>
      <w:r>
        <w:rPr>
          <w:rFonts w:ascii="Arial" w:hAnsi="Arial" w:cs="Arial"/>
          <w:b/>
          <w:color w:val="000361"/>
        </w:rPr>
        <w:lastRenderedPageBreak/>
        <w:t xml:space="preserve">8. </w:t>
      </w:r>
      <w:r w:rsidRPr="002F053A">
        <w:rPr>
          <w:rFonts w:ascii="Arial" w:hAnsi="Arial" w:cs="Arial"/>
          <w:b/>
          <w:color w:val="000361"/>
        </w:rPr>
        <w:t>REFERÈNCIES BIBLIOGRÀFIQUES</w:t>
      </w:r>
    </w:p>
    <w:p w:rsidR="00106DD6" w:rsidRPr="002F053A" w:rsidRDefault="00106DD6" w:rsidP="002D48FA">
      <w:pPr>
        <w:jc w:val="both"/>
        <w:rPr>
          <w:rFonts w:ascii="Arial" w:hAnsi="Arial" w:cs="Arial"/>
          <w:b/>
          <w:color w:val="000361"/>
        </w:rPr>
      </w:pPr>
    </w:p>
    <w:p w:rsidR="00D94EDD" w:rsidRDefault="00D94EDD" w:rsidP="002D48FA">
      <w:pPr>
        <w:jc w:val="both"/>
        <w:rPr>
          <w:rFonts w:ascii="Arial" w:hAnsi="Arial" w:cs="Arial"/>
          <w:b/>
          <w:color w:val="000361"/>
          <w:sz w:val="20"/>
          <w:szCs w:val="20"/>
        </w:rPr>
      </w:pPr>
      <w:r>
        <w:rPr>
          <w:rFonts w:ascii="Arial" w:hAnsi="Arial" w:cs="Arial"/>
          <w:b/>
          <w:color w:val="000361"/>
          <w:sz w:val="20"/>
          <w:szCs w:val="20"/>
        </w:rPr>
        <w:t xml:space="preserve">Material didàctic del grau d’Administració </w:t>
      </w:r>
      <w:r w:rsidR="00976173">
        <w:rPr>
          <w:rFonts w:ascii="Arial" w:hAnsi="Arial" w:cs="Arial"/>
          <w:b/>
          <w:color w:val="000361"/>
          <w:sz w:val="20"/>
          <w:szCs w:val="20"/>
        </w:rPr>
        <w:t>i Direcció d’Empreses</w:t>
      </w:r>
    </w:p>
    <w:p w:rsidR="00976173" w:rsidRDefault="00976173" w:rsidP="002D48FA">
      <w:pPr>
        <w:jc w:val="both"/>
        <w:rPr>
          <w:rFonts w:ascii="Arial" w:hAnsi="Arial" w:cs="Arial"/>
          <w:b/>
          <w:color w:val="000361"/>
          <w:sz w:val="20"/>
          <w:szCs w:val="20"/>
        </w:rPr>
      </w:pPr>
    </w:p>
    <w:p w:rsidR="00976173" w:rsidRPr="00976173" w:rsidRDefault="00976173" w:rsidP="00976173">
      <w:pPr>
        <w:pStyle w:val="Prrafodelista"/>
        <w:numPr>
          <w:ilvl w:val="0"/>
          <w:numId w:val="35"/>
        </w:numPr>
        <w:jc w:val="both"/>
        <w:rPr>
          <w:rFonts w:ascii="Arial" w:hAnsi="Arial" w:cs="Arial"/>
          <w:b/>
          <w:color w:val="000361"/>
          <w:sz w:val="20"/>
          <w:szCs w:val="20"/>
        </w:rPr>
      </w:pPr>
      <w:r>
        <w:rPr>
          <w:rFonts w:ascii="Arial" w:hAnsi="Arial" w:cs="Arial"/>
          <w:color w:val="000361"/>
          <w:sz w:val="20"/>
          <w:szCs w:val="20"/>
        </w:rPr>
        <w:t>Campa Planas, F. i Porras Gracía, M.J. (2015). Anàlisi dels Estats Financers. Barcelona Oberta UOC Publishing S.L.</w:t>
      </w:r>
    </w:p>
    <w:p w:rsidR="00D94EDD" w:rsidRDefault="00D94EDD" w:rsidP="002D48FA">
      <w:pPr>
        <w:jc w:val="both"/>
        <w:rPr>
          <w:rFonts w:ascii="Arial" w:hAnsi="Arial" w:cs="Arial"/>
          <w:b/>
          <w:color w:val="000361"/>
          <w:sz w:val="20"/>
          <w:szCs w:val="20"/>
        </w:rPr>
      </w:pPr>
    </w:p>
    <w:p w:rsidR="00D94EDD" w:rsidRDefault="00D94EDD" w:rsidP="002D48FA">
      <w:pPr>
        <w:jc w:val="both"/>
        <w:rPr>
          <w:rFonts w:ascii="Arial" w:hAnsi="Arial" w:cs="Arial"/>
          <w:b/>
          <w:color w:val="000361"/>
          <w:sz w:val="20"/>
          <w:szCs w:val="20"/>
        </w:rPr>
      </w:pPr>
    </w:p>
    <w:p w:rsidR="00F42B32" w:rsidRDefault="00F42B32" w:rsidP="002D48FA">
      <w:pPr>
        <w:jc w:val="both"/>
        <w:rPr>
          <w:rFonts w:ascii="Arial" w:hAnsi="Arial" w:cs="Arial"/>
          <w:b/>
          <w:color w:val="000361"/>
          <w:sz w:val="20"/>
          <w:szCs w:val="20"/>
        </w:rPr>
      </w:pPr>
      <w:r w:rsidRPr="00F42B32">
        <w:rPr>
          <w:rFonts w:ascii="Arial" w:hAnsi="Arial" w:cs="Arial"/>
          <w:b/>
          <w:color w:val="000361"/>
          <w:sz w:val="20"/>
          <w:szCs w:val="20"/>
        </w:rPr>
        <w:t>Informació sobre els comptes anuals</w:t>
      </w:r>
      <w:r>
        <w:rPr>
          <w:rFonts w:ascii="Arial" w:hAnsi="Arial" w:cs="Arial"/>
          <w:b/>
          <w:color w:val="000361"/>
          <w:sz w:val="20"/>
          <w:szCs w:val="20"/>
        </w:rPr>
        <w:t>:</w:t>
      </w:r>
    </w:p>
    <w:p w:rsidR="00F42B32" w:rsidRDefault="00F42B32" w:rsidP="002D48FA">
      <w:pPr>
        <w:jc w:val="both"/>
        <w:rPr>
          <w:rFonts w:ascii="Arial" w:hAnsi="Arial" w:cs="Arial"/>
          <w:b/>
          <w:color w:val="000361"/>
          <w:sz w:val="20"/>
          <w:szCs w:val="20"/>
        </w:rPr>
      </w:pPr>
    </w:p>
    <w:p w:rsidR="00F42B32" w:rsidRDefault="00F42B32" w:rsidP="00F42B32">
      <w:pPr>
        <w:pStyle w:val="Prrafodelista"/>
        <w:numPr>
          <w:ilvl w:val="0"/>
          <w:numId w:val="14"/>
        </w:numPr>
        <w:jc w:val="both"/>
        <w:rPr>
          <w:rFonts w:ascii="Arial" w:hAnsi="Arial" w:cs="Arial"/>
          <w:color w:val="000361"/>
          <w:sz w:val="20"/>
          <w:szCs w:val="20"/>
        </w:rPr>
      </w:pPr>
      <w:r>
        <w:rPr>
          <w:rFonts w:ascii="Arial" w:hAnsi="Arial" w:cs="Arial"/>
          <w:color w:val="000361"/>
          <w:sz w:val="20"/>
          <w:szCs w:val="20"/>
        </w:rPr>
        <w:t>SABI (base de dades que conté informació financera d’empreses a Espanya)</w:t>
      </w:r>
    </w:p>
    <w:p w:rsidR="00F42B32" w:rsidRDefault="000F5648" w:rsidP="00F42B32">
      <w:pPr>
        <w:pStyle w:val="Prrafodelista"/>
        <w:jc w:val="both"/>
        <w:rPr>
          <w:rFonts w:ascii="Arial" w:hAnsi="Arial" w:cs="Arial"/>
          <w:color w:val="000361"/>
          <w:sz w:val="20"/>
          <w:szCs w:val="20"/>
        </w:rPr>
      </w:pPr>
      <w:hyperlink r:id="rId69" w:history="1">
        <w:r w:rsidR="00F42B32" w:rsidRPr="00570CA7">
          <w:rPr>
            <w:rStyle w:val="Hipervnculo"/>
            <w:rFonts w:ascii="Arial" w:hAnsi="Arial" w:cs="Arial"/>
            <w:sz w:val="20"/>
            <w:szCs w:val="20"/>
          </w:rPr>
          <w:t>http://biblioteca.uoc.edu/es/recursos/recurso/sabi-sistema-de-analisis-de-balances-ibericos</w:t>
        </w:r>
      </w:hyperlink>
    </w:p>
    <w:p w:rsidR="00F42B32" w:rsidRDefault="00F42B32" w:rsidP="00F42B32">
      <w:pPr>
        <w:pStyle w:val="Prrafodelista"/>
        <w:jc w:val="both"/>
        <w:rPr>
          <w:rFonts w:ascii="Arial" w:hAnsi="Arial" w:cs="Arial"/>
          <w:color w:val="000361"/>
          <w:sz w:val="20"/>
          <w:szCs w:val="20"/>
        </w:rPr>
      </w:pPr>
    </w:p>
    <w:p w:rsidR="00F42B32" w:rsidRDefault="00E35A06" w:rsidP="00F42B32">
      <w:pPr>
        <w:pStyle w:val="Prrafodelista"/>
        <w:numPr>
          <w:ilvl w:val="0"/>
          <w:numId w:val="14"/>
        </w:numPr>
        <w:jc w:val="both"/>
        <w:rPr>
          <w:rFonts w:ascii="Arial" w:hAnsi="Arial" w:cs="Arial"/>
          <w:color w:val="000361"/>
          <w:sz w:val="20"/>
          <w:szCs w:val="20"/>
        </w:rPr>
      </w:pPr>
      <w:r>
        <w:rPr>
          <w:rFonts w:ascii="Arial" w:hAnsi="Arial" w:cs="Arial"/>
          <w:color w:val="000361"/>
          <w:sz w:val="20"/>
          <w:szCs w:val="20"/>
        </w:rPr>
        <w:t>ZOETIS. Informe financer adreçat als inversors.</w:t>
      </w:r>
    </w:p>
    <w:p w:rsidR="00E35A06" w:rsidRDefault="000F5648" w:rsidP="00E35A06">
      <w:pPr>
        <w:pStyle w:val="Prrafodelista"/>
        <w:jc w:val="both"/>
        <w:rPr>
          <w:rFonts w:ascii="Arial" w:hAnsi="Arial" w:cs="Arial"/>
          <w:color w:val="000361"/>
          <w:sz w:val="20"/>
          <w:szCs w:val="20"/>
        </w:rPr>
      </w:pPr>
      <w:hyperlink r:id="rId70" w:history="1">
        <w:r w:rsidR="00E35A06" w:rsidRPr="00570CA7">
          <w:rPr>
            <w:rStyle w:val="Hipervnculo"/>
            <w:rFonts w:ascii="Arial" w:hAnsi="Arial" w:cs="Arial"/>
            <w:sz w:val="20"/>
            <w:szCs w:val="20"/>
          </w:rPr>
          <w:t>https://www.zoetis.com/</w:t>
        </w:r>
      </w:hyperlink>
    </w:p>
    <w:p w:rsidR="00E35A06" w:rsidRDefault="00E35A06" w:rsidP="00E35A06">
      <w:pPr>
        <w:pStyle w:val="Prrafodelista"/>
        <w:jc w:val="both"/>
        <w:rPr>
          <w:rFonts w:ascii="Arial" w:hAnsi="Arial" w:cs="Arial"/>
          <w:color w:val="000361"/>
          <w:sz w:val="20"/>
          <w:szCs w:val="20"/>
        </w:rPr>
      </w:pPr>
    </w:p>
    <w:p w:rsidR="00E35A06" w:rsidRDefault="000E210F" w:rsidP="00E35A06">
      <w:pPr>
        <w:pStyle w:val="Prrafodelista"/>
        <w:numPr>
          <w:ilvl w:val="0"/>
          <w:numId w:val="14"/>
        </w:numPr>
        <w:jc w:val="both"/>
        <w:rPr>
          <w:rFonts w:ascii="Arial" w:hAnsi="Arial" w:cs="Arial"/>
          <w:color w:val="000361"/>
          <w:sz w:val="20"/>
          <w:szCs w:val="20"/>
        </w:rPr>
      </w:pPr>
      <w:r>
        <w:rPr>
          <w:rFonts w:ascii="Arial" w:hAnsi="Arial" w:cs="Arial"/>
          <w:color w:val="000361"/>
          <w:sz w:val="20"/>
          <w:szCs w:val="20"/>
        </w:rPr>
        <w:t>NEOGEN</w:t>
      </w:r>
      <w:r w:rsidR="00E35A06">
        <w:rPr>
          <w:rFonts w:ascii="Arial" w:hAnsi="Arial" w:cs="Arial"/>
          <w:color w:val="000361"/>
          <w:sz w:val="20"/>
          <w:szCs w:val="20"/>
        </w:rPr>
        <w:t>. Informe financers adreçat als inversors.</w:t>
      </w:r>
    </w:p>
    <w:p w:rsidR="00E35A06" w:rsidRPr="004B19A2" w:rsidRDefault="000F5648" w:rsidP="00E35A06">
      <w:pPr>
        <w:pStyle w:val="Prrafodelista"/>
        <w:jc w:val="both"/>
        <w:rPr>
          <w:rFonts w:ascii="Arial" w:hAnsi="Arial" w:cs="Arial"/>
          <w:sz w:val="20"/>
          <w:szCs w:val="20"/>
        </w:rPr>
      </w:pPr>
      <w:hyperlink r:id="rId71" w:history="1">
        <w:r w:rsidR="004B19A2" w:rsidRPr="004B19A2">
          <w:rPr>
            <w:rStyle w:val="Hipervnculo"/>
            <w:rFonts w:ascii="Arial" w:hAnsi="Arial" w:cs="Arial"/>
            <w:sz w:val="20"/>
            <w:szCs w:val="20"/>
          </w:rPr>
          <w:t>https://www.neogen.com/es/</w:t>
        </w:r>
      </w:hyperlink>
    </w:p>
    <w:p w:rsidR="004B19A2" w:rsidRDefault="004B19A2" w:rsidP="00E35A06">
      <w:pPr>
        <w:pStyle w:val="Prrafodelista"/>
        <w:jc w:val="both"/>
        <w:rPr>
          <w:rFonts w:ascii="Arial" w:hAnsi="Arial" w:cs="Arial"/>
          <w:color w:val="000361"/>
          <w:sz w:val="20"/>
          <w:szCs w:val="20"/>
        </w:rPr>
      </w:pPr>
    </w:p>
    <w:p w:rsidR="00E35A06" w:rsidRDefault="00E35A06" w:rsidP="00E35A06">
      <w:pPr>
        <w:pStyle w:val="Prrafodelista"/>
        <w:numPr>
          <w:ilvl w:val="0"/>
          <w:numId w:val="14"/>
        </w:numPr>
        <w:jc w:val="both"/>
        <w:rPr>
          <w:rFonts w:ascii="Arial" w:hAnsi="Arial" w:cs="Arial"/>
          <w:color w:val="000361"/>
          <w:sz w:val="20"/>
          <w:szCs w:val="20"/>
        </w:rPr>
      </w:pPr>
      <w:r>
        <w:rPr>
          <w:rFonts w:ascii="Arial" w:hAnsi="Arial" w:cs="Arial"/>
          <w:color w:val="000361"/>
          <w:sz w:val="20"/>
          <w:szCs w:val="20"/>
        </w:rPr>
        <w:t>IDEXX. Informe financer adreçat als inversors.</w:t>
      </w:r>
    </w:p>
    <w:p w:rsidR="00E35A06" w:rsidRDefault="000F5648" w:rsidP="00E35A06">
      <w:pPr>
        <w:pStyle w:val="Prrafodelista"/>
        <w:jc w:val="both"/>
        <w:rPr>
          <w:rFonts w:ascii="Arial" w:hAnsi="Arial" w:cs="Arial"/>
          <w:color w:val="000361"/>
          <w:sz w:val="20"/>
          <w:szCs w:val="20"/>
        </w:rPr>
      </w:pPr>
      <w:hyperlink r:id="rId72" w:history="1">
        <w:r w:rsidR="00E35A06" w:rsidRPr="00570CA7">
          <w:rPr>
            <w:rStyle w:val="Hipervnculo"/>
            <w:rFonts w:ascii="Arial" w:hAnsi="Arial" w:cs="Arial"/>
            <w:sz w:val="20"/>
            <w:szCs w:val="20"/>
          </w:rPr>
          <w:t>https://www.idexx.com/en/</w:t>
        </w:r>
      </w:hyperlink>
    </w:p>
    <w:p w:rsidR="00E35A06" w:rsidRDefault="00E35A06" w:rsidP="00E35A06">
      <w:pPr>
        <w:pStyle w:val="Prrafodelista"/>
        <w:jc w:val="both"/>
        <w:rPr>
          <w:rFonts w:ascii="Arial" w:hAnsi="Arial" w:cs="Arial"/>
          <w:color w:val="000361"/>
          <w:sz w:val="20"/>
          <w:szCs w:val="20"/>
        </w:rPr>
      </w:pPr>
    </w:p>
    <w:p w:rsidR="00E35A06" w:rsidRDefault="00E35A06" w:rsidP="00E35A06">
      <w:pPr>
        <w:pStyle w:val="Prrafodelista"/>
        <w:numPr>
          <w:ilvl w:val="0"/>
          <w:numId w:val="14"/>
        </w:numPr>
        <w:jc w:val="both"/>
        <w:rPr>
          <w:rFonts w:ascii="Arial" w:hAnsi="Arial" w:cs="Arial"/>
          <w:color w:val="000361"/>
          <w:sz w:val="20"/>
          <w:szCs w:val="20"/>
        </w:rPr>
      </w:pPr>
      <w:r>
        <w:rPr>
          <w:rFonts w:ascii="Arial" w:hAnsi="Arial" w:cs="Arial"/>
          <w:color w:val="000361"/>
          <w:sz w:val="20"/>
          <w:szCs w:val="20"/>
        </w:rPr>
        <w:t>VIRBAC. Informe financer adreçat als inversors.</w:t>
      </w:r>
    </w:p>
    <w:p w:rsidR="00E35A06" w:rsidRDefault="000F5648" w:rsidP="00E35A06">
      <w:pPr>
        <w:pStyle w:val="Prrafodelista"/>
        <w:jc w:val="both"/>
        <w:rPr>
          <w:rFonts w:ascii="Arial" w:hAnsi="Arial" w:cs="Arial"/>
          <w:color w:val="000361"/>
          <w:sz w:val="20"/>
          <w:szCs w:val="20"/>
        </w:rPr>
      </w:pPr>
      <w:hyperlink r:id="rId73" w:history="1">
        <w:r w:rsidR="00E35A06" w:rsidRPr="00570CA7">
          <w:rPr>
            <w:rStyle w:val="Hipervnculo"/>
            <w:rFonts w:ascii="Arial" w:hAnsi="Arial" w:cs="Arial"/>
            <w:sz w:val="20"/>
            <w:szCs w:val="20"/>
          </w:rPr>
          <w:t>https://corporate.virbac.com/home.html</w:t>
        </w:r>
      </w:hyperlink>
    </w:p>
    <w:p w:rsidR="00E35A06" w:rsidRDefault="00E35A06" w:rsidP="00E35A06">
      <w:pPr>
        <w:pStyle w:val="Prrafodelista"/>
        <w:jc w:val="both"/>
        <w:rPr>
          <w:rFonts w:ascii="Arial" w:hAnsi="Arial" w:cs="Arial"/>
          <w:color w:val="000361"/>
          <w:sz w:val="20"/>
          <w:szCs w:val="20"/>
        </w:rPr>
      </w:pPr>
    </w:p>
    <w:p w:rsidR="00E35A06" w:rsidRDefault="00E35A06" w:rsidP="00E35A06">
      <w:pPr>
        <w:pStyle w:val="Prrafodelista"/>
        <w:numPr>
          <w:ilvl w:val="0"/>
          <w:numId w:val="14"/>
        </w:numPr>
        <w:jc w:val="both"/>
        <w:rPr>
          <w:rFonts w:ascii="Arial" w:hAnsi="Arial" w:cs="Arial"/>
          <w:color w:val="000361"/>
          <w:sz w:val="20"/>
          <w:szCs w:val="20"/>
        </w:rPr>
      </w:pPr>
      <w:r>
        <w:rPr>
          <w:rFonts w:ascii="Arial" w:hAnsi="Arial" w:cs="Arial"/>
          <w:color w:val="000361"/>
          <w:sz w:val="20"/>
          <w:szCs w:val="20"/>
        </w:rPr>
        <w:t>PHIBRO Animal Corporation. Informe financer adreçat als inversors.</w:t>
      </w:r>
    </w:p>
    <w:p w:rsidR="00E35A06" w:rsidRDefault="000F5648" w:rsidP="00E35A06">
      <w:pPr>
        <w:pStyle w:val="Prrafodelista"/>
        <w:jc w:val="both"/>
        <w:rPr>
          <w:rFonts w:ascii="Arial" w:hAnsi="Arial" w:cs="Arial"/>
          <w:color w:val="000361"/>
          <w:sz w:val="20"/>
          <w:szCs w:val="20"/>
        </w:rPr>
      </w:pPr>
      <w:hyperlink r:id="rId74" w:history="1">
        <w:r w:rsidR="00E35A06" w:rsidRPr="00570CA7">
          <w:rPr>
            <w:rStyle w:val="Hipervnculo"/>
            <w:rFonts w:ascii="Arial" w:hAnsi="Arial" w:cs="Arial"/>
            <w:sz w:val="20"/>
            <w:szCs w:val="20"/>
          </w:rPr>
          <w:t>https://www.pahc.com/</w:t>
        </w:r>
      </w:hyperlink>
    </w:p>
    <w:p w:rsidR="00E35A06" w:rsidRDefault="00E35A06" w:rsidP="00E35A06">
      <w:pPr>
        <w:pStyle w:val="Prrafodelista"/>
        <w:jc w:val="both"/>
        <w:rPr>
          <w:rFonts w:ascii="Arial" w:hAnsi="Arial" w:cs="Arial"/>
          <w:color w:val="000361"/>
          <w:sz w:val="20"/>
          <w:szCs w:val="20"/>
        </w:rPr>
      </w:pPr>
    </w:p>
    <w:p w:rsidR="00E35A06" w:rsidRPr="00E35A06" w:rsidRDefault="00E35A06" w:rsidP="00E35A06">
      <w:pPr>
        <w:jc w:val="both"/>
        <w:rPr>
          <w:rFonts w:ascii="Arial" w:hAnsi="Arial" w:cs="Arial"/>
          <w:color w:val="000361"/>
          <w:sz w:val="20"/>
          <w:szCs w:val="20"/>
        </w:rPr>
      </w:pPr>
    </w:p>
    <w:p w:rsidR="00F42B32" w:rsidRDefault="00E35A06" w:rsidP="002D48FA">
      <w:pPr>
        <w:jc w:val="both"/>
        <w:rPr>
          <w:rFonts w:ascii="Arial" w:hAnsi="Arial" w:cs="Arial"/>
          <w:b/>
          <w:color w:val="000361"/>
          <w:sz w:val="20"/>
          <w:szCs w:val="20"/>
        </w:rPr>
      </w:pPr>
      <w:r>
        <w:rPr>
          <w:rFonts w:ascii="Arial" w:hAnsi="Arial" w:cs="Arial"/>
          <w:b/>
          <w:color w:val="000361"/>
          <w:sz w:val="20"/>
          <w:szCs w:val="20"/>
        </w:rPr>
        <w:t>Fonts d’informació relacionades amb Laboratoris HIPRA:</w:t>
      </w:r>
    </w:p>
    <w:p w:rsidR="00E35A06" w:rsidRDefault="00E35A06" w:rsidP="002D48FA">
      <w:pPr>
        <w:jc w:val="both"/>
        <w:rPr>
          <w:rFonts w:ascii="Arial" w:hAnsi="Arial" w:cs="Arial"/>
          <w:b/>
          <w:color w:val="000361"/>
          <w:sz w:val="20"/>
          <w:szCs w:val="20"/>
        </w:rPr>
      </w:pPr>
    </w:p>
    <w:p w:rsidR="00E35A06" w:rsidRPr="00A24892" w:rsidRDefault="00A24892" w:rsidP="00E35A06">
      <w:pPr>
        <w:pStyle w:val="Prrafodelista"/>
        <w:numPr>
          <w:ilvl w:val="0"/>
          <w:numId w:val="14"/>
        </w:numPr>
        <w:jc w:val="both"/>
        <w:rPr>
          <w:rFonts w:ascii="Arial" w:hAnsi="Arial" w:cs="Arial"/>
          <w:color w:val="000361"/>
          <w:sz w:val="20"/>
          <w:szCs w:val="20"/>
        </w:rPr>
      </w:pPr>
      <w:r w:rsidRPr="00A24892">
        <w:rPr>
          <w:rFonts w:ascii="Arial" w:hAnsi="Arial" w:cs="Arial"/>
          <w:color w:val="000361"/>
          <w:sz w:val="20"/>
          <w:szCs w:val="20"/>
        </w:rPr>
        <w:t>Informe sobre els e</w:t>
      </w:r>
      <w:r w:rsidR="00E35A06" w:rsidRPr="00A24892">
        <w:rPr>
          <w:rFonts w:ascii="Arial" w:hAnsi="Arial" w:cs="Arial"/>
          <w:color w:val="000361"/>
          <w:sz w:val="20"/>
          <w:szCs w:val="20"/>
        </w:rPr>
        <w:t>stats d’informació no financera exercici</w:t>
      </w:r>
      <w:r w:rsidRPr="00A24892">
        <w:rPr>
          <w:rFonts w:ascii="Arial" w:hAnsi="Arial" w:cs="Arial"/>
          <w:color w:val="000361"/>
          <w:sz w:val="20"/>
          <w:szCs w:val="20"/>
        </w:rPr>
        <w:t>s</w:t>
      </w:r>
      <w:r w:rsidR="00E35A06" w:rsidRPr="00A24892">
        <w:rPr>
          <w:rFonts w:ascii="Arial" w:hAnsi="Arial" w:cs="Arial"/>
          <w:color w:val="000361"/>
          <w:sz w:val="20"/>
          <w:szCs w:val="20"/>
        </w:rPr>
        <w:t xml:space="preserve"> 2018</w:t>
      </w:r>
      <w:r w:rsidRPr="00A24892">
        <w:rPr>
          <w:rFonts w:ascii="Arial" w:hAnsi="Arial" w:cs="Arial"/>
          <w:color w:val="000361"/>
          <w:sz w:val="20"/>
          <w:szCs w:val="20"/>
        </w:rPr>
        <w:t xml:space="preserve"> i 2019.</w:t>
      </w:r>
    </w:p>
    <w:p w:rsidR="00A24892" w:rsidRDefault="000F5648" w:rsidP="00A24892">
      <w:pPr>
        <w:pStyle w:val="Prrafodelista"/>
        <w:jc w:val="both"/>
        <w:rPr>
          <w:rFonts w:ascii="Arial" w:hAnsi="Arial" w:cs="Arial"/>
          <w:color w:val="000361"/>
          <w:sz w:val="20"/>
          <w:szCs w:val="20"/>
        </w:rPr>
      </w:pPr>
      <w:hyperlink r:id="rId75" w:history="1">
        <w:r w:rsidR="00A24892" w:rsidRPr="00570CA7">
          <w:rPr>
            <w:rStyle w:val="Hipervnculo"/>
            <w:rFonts w:ascii="Arial" w:hAnsi="Arial" w:cs="Arial"/>
            <w:sz w:val="20"/>
            <w:szCs w:val="20"/>
          </w:rPr>
          <w:t>https://www.hipra.com/portal/es/hipra/about/news/detail/non-financial-information-statement-2018</w:t>
        </w:r>
      </w:hyperlink>
    </w:p>
    <w:p w:rsidR="00A24892" w:rsidRDefault="00A24892" w:rsidP="00A24892">
      <w:pPr>
        <w:pStyle w:val="Prrafodelista"/>
        <w:jc w:val="both"/>
        <w:rPr>
          <w:rFonts w:ascii="Arial" w:hAnsi="Arial" w:cs="Arial"/>
          <w:color w:val="000361"/>
          <w:sz w:val="20"/>
          <w:szCs w:val="20"/>
        </w:rPr>
      </w:pPr>
    </w:p>
    <w:p w:rsidR="00A24892" w:rsidRPr="00A24892" w:rsidRDefault="00A24892" w:rsidP="00A24892">
      <w:pPr>
        <w:pStyle w:val="Prrafodelista"/>
        <w:numPr>
          <w:ilvl w:val="0"/>
          <w:numId w:val="14"/>
        </w:numPr>
        <w:rPr>
          <w:rFonts w:ascii="Arial" w:hAnsi="Arial" w:cs="Arial"/>
          <w:sz w:val="20"/>
          <w:szCs w:val="20"/>
        </w:rPr>
      </w:pPr>
      <w:r w:rsidRPr="00A24892">
        <w:rPr>
          <w:rFonts w:ascii="Arial" w:hAnsi="Arial" w:cs="Arial"/>
          <w:sz w:val="20"/>
          <w:szCs w:val="20"/>
        </w:rPr>
        <w:t>Hipra, una companyia orientada específicament a Salut Animal. Cátedra Avícola (26 juny, 2020)</w:t>
      </w:r>
    </w:p>
    <w:p w:rsidR="00A24892" w:rsidRDefault="000F5648" w:rsidP="00A24892">
      <w:pPr>
        <w:pStyle w:val="Prrafodelista"/>
        <w:jc w:val="both"/>
        <w:rPr>
          <w:rFonts w:ascii="Arial" w:hAnsi="Arial" w:cs="Arial"/>
          <w:color w:val="000361"/>
          <w:sz w:val="20"/>
          <w:szCs w:val="20"/>
        </w:rPr>
      </w:pPr>
      <w:hyperlink r:id="rId76" w:history="1">
        <w:r w:rsidR="00A24892" w:rsidRPr="00570CA7">
          <w:rPr>
            <w:rStyle w:val="Hipervnculo"/>
            <w:rFonts w:ascii="Arial" w:hAnsi="Arial" w:cs="Arial"/>
            <w:sz w:val="20"/>
            <w:szCs w:val="20"/>
          </w:rPr>
          <w:t>https://www.catedraavicola.com.ar/hipra-una-compania-enfocada-unicamente-en-salud-animal/</w:t>
        </w:r>
      </w:hyperlink>
    </w:p>
    <w:p w:rsidR="00A24892" w:rsidRDefault="00A24892" w:rsidP="00A24892">
      <w:pPr>
        <w:pStyle w:val="Prrafodelista"/>
        <w:jc w:val="both"/>
        <w:rPr>
          <w:rFonts w:ascii="Arial" w:hAnsi="Arial" w:cs="Arial"/>
          <w:color w:val="000361"/>
          <w:sz w:val="20"/>
          <w:szCs w:val="20"/>
        </w:rPr>
      </w:pPr>
    </w:p>
    <w:p w:rsidR="00A24892" w:rsidRDefault="00AB05E3" w:rsidP="00A24892">
      <w:pPr>
        <w:pStyle w:val="Prrafodelista"/>
        <w:numPr>
          <w:ilvl w:val="0"/>
          <w:numId w:val="14"/>
        </w:numPr>
        <w:jc w:val="both"/>
        <w:rPr>
          <w:rFonts w:ascii="Arial" w:hAnsi="Arial" w:cs="Arial"/>
          <w:color w:val="000361"/>
          <w:sz w:val="20"/>
          <w:szCs w:val="20"/>
        </w:rPr>
      </w:pPr>
      <w:r>
        <w:rPr>
          <w:rFonts w:ascii="Arial" w:hAnsi="Arial" w:cs="Arial"/>
          <w:color w:val="000361"/>
          <w:sz w:val="20"/>
          <w:szCs w:val="20"/>
        </w:rPr>
        <w:t>Hipra, una salud animal con menos medicamentos y más vacunas. Campo Galego (03/05/2017)</w:t>
      </w:r>
    </w:p>
    <w:p w:rsidR="00AB05E3" w:rsidRDefault="000F5648" w:rsidP="00AB05E3">
      <w:pPr>
        <w:pStyle w:val="Prrafodelista"/>
        <w:jc w:val="both"/>
        <w:rPr>
          <w:rFonts w:ascii="Arial" w:hAnsi="Arial" w:cs="Arial"/>
          <w:color w:val="000361"/>
          <w:sz w:val="20"/>
          <w:szCs w:val="20"/>
        </w:rPr>
      </w:pPr>
      <w:hyperlink r:id="rId77" w:history="1">
        <w:r w:rsidR="00AB05E3" w:rsidRPr="00570CA7">
          <w:rPr>
            <w:rStyle w:val="Hipervnculo"/>
            <w:rFonts w:ascii="Arial" w:hAnsi="Arial" w:cs="Arial"/>
            <w:sz w:val="20"/>
            <w:szCs w:val="20"/>
          </w:rPr>
          <w:t>https://www.campogalego.es/hipra-una-salud-animal-con-menos-medicamentos-y-mas-vacunas/</w:t>
        </w:r>
      </w:hyperlink>
    </w:p>
    <w:p w:rsidR="00AB05E3" w:rsidRDefault="00AB05E3" w:rsidP="00AB05E3">
      <w:pPr>
        <w:pStyle w:val="Prrafodelista"/>
        <w:jc w:val="both"/>
        <w:rPr>
          <w:rFonts w:ascii="Arial" w:hAnsi="Arial" w:cs="Arial"/>
          <w:color w:val="000361"/>
          <w:sz w:val="20"/>
          <w:szCs w:val="20"/>
        </w:rPr>
      </w:pPr>
    </w:p>
    <w:p w:rsidR="00AB05E3" w:rsidRDefault="00AB05E3" w:rsidP="00AB05E3">
      <w:pPr>
        <w:pStyle w:val="Prrafodelista"/>
        <w:numPr>
          <w:ilvl w:val="0"/>
          <w:numId w:val="14"/>
        </w:numPr>
        <w:jc w:val="both"/>
        <w:rPr>
          <w:rFonts w:ascii="Arial" w:hAnsi="Arial" w:cs="Arial"/>
          <w:color w:val="000361"/>
          <w:sz w:val="20"/>
          <w:szCs w:val="20"/>
        </w:rPr>
      </w:pPr>
      <w:r>
        <w:rPr>
          <w:rFonts w:ascii="Arial" w:hAnsi="Arial" w:cs="Arial"/>
          <w:color w:val="000361"/>
          <w:sz w:val="20"/>
          <w:szCs w:val="20"/>
        </w:rPr>
        <w:t>The Poultry Site. HIPRA makes part of its biotechnology facilities and equipment available to the health authorities. Hipra (27/03/2020)</w:t>
      </w:r>
    </w:p>
    <w:p w:rsidR="00AB05E3" w:rsidRDefault="000F5648" w:rsidP="00AB05E3">
      <w:pPr>
        <w:pStyle w:val="Prrafodelista"/>
        <w:jc w:val="both"/>
        <w:rPr>
          <w:rFonts w:ascii="Arial" w:hAnsi="Arial" w:cs="Arial"/>
          <w:color w:val="000361"/>
          <w:sz w:val="20"/>
          <w:szCs w:val="20"/>
        </w:rPr>
      </w:pPr>
      <w:hyperlink r:id="rId78" w:history="1">
        <w:r w:rsidR="00AB05E3" w:rsidRPr="00570CA7">
          <w:rPr>
            <w:rStyle w:val="Hipervnculo"/>
            <w:rFonts w:ascii="Arial" w:hAnsi="Arial" w:cs="Arial"/>
            <w:sz w:val="20"/>
            <w:szCs w:val="20"/>
          </w:rPr>
          <w:t>https://www.thepoultrysite.com/news/2020/03/hipra-makes-part-of-its-biotechnology-facilities-and-equipment-available-to-the-health-authorities</w:t>
        </w:r>
      </w:hyperlink>
    </w:p>
    <w:p w:rsidR="00AB05E3" w:rsidRDefault="00AB05E3" w:rsidP="00AB05E3">
      <w:pPr>
        <w:pStyle w:val="Prrafodelista"/>
        <w:jc w:val="both"/>
        <w:rPr>
          <w:rFonts w:ascii="Arial" w:hAnsi="Arial" w:cs="Arial"/>
          <w:color w:val="000361"/>
          <w:sz w:val="20"/>
          <w:szCs w:val="20"/>
        </w:rPr>
      </w:pPr>
    </w:p>
    <w:p w:rsidR="00AB05E3" w:rsidRDefault="00AB05E3" w:rsidP="00AB05E3">
      <w:pPr>
        <w:pStyle w:val="Prrafodelista"/>
        <w:numPr>
          <w:ilvl w:val="0"/>
          <w:numId w:val="14"/>
        </w:numPr>
        <w:jc w:val="both"/>
        <w:rPr>
          <w:rFonts w:ascii="Arial" w:hAnsi="Arial" w:cs="Arial"/>
          <w:color w:val="000361"/>
          <w:sz w:val="20"/>
          <w:szCs w:val="20"/>
        </w:rPr>
      </w:pPr>
      <w:r>
        <w:rPr>
          <w:rFonts w:ascii="Arial" w:hAnsi="Arial" w:cs="Arial"/>
          <w:color w:val="000361"/>
          <w:sz w:val="20"/>
          <w:szCs w:val="20"/>
        </w:rPr>
        <w:t>Hipra 2025, de la referencia al liderazgo. Avi Cultura (27/04/2017)</w:t>
      </w:r>
    </w:p>
    <w:p w:rsidR="00AB05E3" w:rsidRDefault="000F5648" w:rsidP="00AB05E3">
      <w:pPr>
        <w:pStyle w:val="Prrafodelista"/>
        <w:jc w:val="both"/>
        <w:rPr>
          <w:rFonts w:ascii="Arial" w:hAnsi="Arial" w:cs="Arial"/>
          <w:color w:val="000361"/>
          <w:sz w:val="20"/>
          <w:szCs w:val="20"/>
        </w:rPr>
      </w:pPr>
      <w:hyperlink r:id="rId79" w:history="1">
        <w:r w:rsidR="00AB05E3" w:rsidRPr="00570CA7">
          <w:rPr>
            <w:rStyle w:val="Hipervnculo"/>
            <w:rFonts w:ascii="Arial" w:hAnsi="Arial" w:cs="Arial"/>
            <w:sz w:val="20"/>
            <w:szCs w:val="20"/>
          </w:rPr>
          <w:t>https://avicultura.com/hipra-2025-de-la-referencia-al-liderazgo/</w:t>
        </w:r>
      </w:hyperlink>
    </w:p>
    <w:p w:rsidR="00AB05E3" w:rsidRDefault="00AB05E3" w:rsidP="00AB05E3">
      <w:pPr>
        <w:pStyle w:val="Prrafodelista"/>
        <w:jc w:val="both"/>
        <w:rPr>
          <w:rFonts w:ascii="Arial" w:hAnsi="Arial" w:cs="Arial"/>
          <w:color w:val="000361"/>
          <w:sz w:val="20"/>
          <w:szCs w:val="20"/>
        </w:rPr>
      </w:pPr>
    </w:p>
    <w:p w:rsidR="00AB05E3" w:rsidRDefault="00AB05E3" w:rsidP="00AB05E3">
      <w:pPr>
        <w:pStyle w:val="Prrafodelista"/>
        <w:numPr>
          <w:ilvl w:val="0"/>
          <w:numId w:val="14"/>
        </w:numPr>
        <w:jc w:val="both"/>
        <w:rPr>
          <w:rFonts w:ascii="Arial" w:hAnsi="Arial" w:cs="Arial"/>
          <w:color w:val="000361"/>
          <w:sz w:val="20"/>
          <w:szCs w:val="20"/>
        </w:rPr>
      </w:pPr>
      <w:r>
        <w:rPr>
          <w:rFonts w:ascii="Arial" w:hAnsi="Arial" w:cs="Arial"/>
          <w:color w:val="000361"/>
          <w:sz w:val="20"/>
          <w:szCs w:val="20"/>
        </w:rPr>
        <w:t>Diari de Girona. La multinacional Hipra vol ser referent mundial del sector. ACN – Agència Catalana de Notícies (02/05/2011)</w:t>
      </w:r>
    </w:p>
    <w:p w:rsidR="00AB05E3" w:rsidRDefault="000F5648" w:rsidP="00AB05E3">
      <w:pPr>
        <w:pStyle w:val="Prrafodelista"/>
        <w:jc w:val="both"/>
        <w:rPr>
          <w:rFonts w:ascii="Arial" w:hAnsi="Arial" w:cs="Arial"/>
          <w:color w:val="000361"/>
          <w:sz w:val="20"/>
          <w:szCs w:val="20"/>
        </w:rPr>
      </w:pPr>
      <w:hyperlink r:id="rId80" w:history="1">
        <w:r w:rsidR="00AB05E3" w:rsidRPr="00570CA7">
          <w:rPr>
            <w:rStyle w:val="Hipervnculo"/>
            <w:rFonts w:ascii="Arial" w:hAnsi="Arial" w:cs="Arial"/>
            <w:sz w:val="20"/>
            <w:szCs w:val="20"/>
          </w:rPr>
          <w:t>https://www.diaridegirona.cat/economia/2011/05/02/multinacional-hipra-vol-referent-mundial-del-sector/483767.html</w:t>
        </w:r>
      </w:hyperlink>
    </w:p>
    <w:p w:rsidR="00AB05E3" w:rsidRDefault="00AB05E3" w:rsidP="00AB05E3">
      <w:pPr>
        <w:pStyle w:val="Prrafodelista"/>
        <w:jc w:val="both"/>
        <w:rPr>
          <w:rFonts w:ascii="Arial" w:hAnsi="Arial" w:cs="Arial"/>
          <w:color w:val="000361"/>
          <w:sz w:val="20"/>
          <w:szCs w:val="20"/>
        </w:rPr>
      </w:pPr>
    </w:p>
    <w:p w:rsidR="00AB05E3" w:rsidRPr="00AB05E3" w:rsidRDefault="00AB05E3" w:rsidP="00AB05E3">
      <w:pPr>
        <w:jc w:val="both"/>
        <w:rPr>
          <w:rFonts w:ascii="Arial" w:hAnsi="Arial" w:cs="Arial"/>
          <w:color w:val="000361"/>
          <w:sz w:val="20"/>
          <w:szCs w:val="20"/>
        </w:rPr>
      </w:pPr>
    </w:p>
    <w:p w:rsidR="00AB05E3" w:rsidRDefault="00AB05E3" w:rsidP="00AB05E3">
      <w:pPr>
        <w:jc w:val="both"/>
        <w:rPr>
          <w:rFonts w:ascii="Arial" w:hAnsi="Arial" w:cs="Arial"/>
          <w:b/>
          <w:color w:val="000361"/>
          <w:sz w:val="20"/>
          <w:szCs w:val="20"/>
        </w:rPr>
      </w:pPr>
      <w:r>
        <w:rPr>
          <w:rFonts w:ascii="Arial" w:hAnsi="Arial" w:cs="Arial"/>
          <w:b/>
          <w:color w:val="000361"/>
          <w:sz w:val="20"/>
          <w:szCs w:val="20"/>
        </w:rPr>
        <w:t>Fonts d’informació relacionades amb el sector i principals competidors:</w:t>
      </w:r>
    </w:p>
    <w:p w:rsidR="00B03B1A" w:rsidRDefault="00B03B1A" w:rsidP="00AB05E3">
      <w:pPr>
        <w:jc w:val="both"/>
        <w:rPr>
          <w:rFonts w:ascii="Arial" w:hAnsi="Arial" w:cs="Arial"/>
          <w:b/>
          <w:color w:val="000361"/>
          <w:sz w:val="20"/>
          <w:szCs w:val="20"/>
        </w:rPr>
      </w:pPr>
    </w:p>
    <w:p w:rsidR="00B03B1A" w:rsidRDefault="00B03B1A" w:rsidP="00B03B1A">
      <w:pPr>
        <w:pStyle w:val="Prrafodelista"/>
        <w:numPr>
          <w:ilvl w:val="0"/>
          <w:numId w:val="14"/>
        </w:numPr>
        <w:jc w:val="both"/>
        <w:rPr>
          <w:rFonts w:ascii="Arial" w:hAnsi="Arial" w:cs="Arial"/>
          <w:color w:val="000361"/>
          <w:sz w:val="20"/>
          <w:szCs w:val="20"/>
        </w:rPr>
      </w:pPr>
      <w:r w:rsidRPr="00B03B1A">
        <w:rPr>
          <w:rFonts w:ascii="Arial" w:hAnsi="Arial" w:cs="Arial"/>
          <w:color w:val="000361"/>
          <w:sz w:val="20"/>
          <w:szCs w:val="20"/>
        </w:rPr>
        <w:t>Health for animals.</w:t>
      </w:r>
      <w:r>
        <w:rPr>
          <w:rFonts w:ascii="Arial" w:hAnsi="Arial" w:cs="Arial"/>
          <w:color w:val="000361"/>
          <w:sz w:val="20"/>
          <w:szCs w:val="20"/>
        </w:rPr>
        <w:t xml:space="preserve"> The Animal Medicines Sector is a global industry dedicated to improving the well-being of pets and farm animals. Statistics provided by Vetnosis (2018)</w:t>
      </w:r>
    </w:p>
    <w:p w:rsidR="00B03B1A" w:rsidRDefault="000F5648" w:rsidP="00B03B1A">
      <w:pPr>
        <w:pStyle w:val="Prrafodelista"/>
        <w:jc w:val="both"/>
        <w:rPr>
          <w:rFonts w:ascii="Arial" w:hAnsi="Arial" w:cs="Arial"/>
          <w:color w:val="000361"/>
          <w:sz w:val="20"/>
          <w:szCs w:val="20"/>
        </w:rPr>
      </w:pPr>
      <w:hyperlink r:id="rId81" w:history="1">
        <w:r w:rsidR="00B03B1A" w:rsidRPr="00570CA7">
          <w:rPr>
            <w:rStyle w:val="Hipervnculo"/>
            <w:rFonts w:ascii="Arial" w:hAnsi="Arial" w:cs="Arial"/>
            <w:sz w:val="20"/>
            <w:szCs w:val="20"/>
          </w:rPr>
          <w:t>https://healthforanimals.org/sector.html</w:t>
        </w:r>
      </w:hyperlink>
    </w:p>
    <w:p w:rsidR="00B03B1A" w:rsidRDefault="00B03B1A" w:rsidP="00B03B1A">
      <w:pPr>
        <w:pStyle w:val="Prrafodelista"/>
        <w:jc w:val="both"/>
        <w:rPr>
          <w:rFonts w:ascii="Arial" w:hAnsi="Arial" w:cs="Arial"/>
          <w:color w:val="000361"/>
          <w:sz w:val="20"/>
          <w:szCs w:val="20"/>
        </w:rPr>
      </w:pPr>
    </w:p>
    <w:p w:rsidR="00B03B1A" w:rsidRDefault="00B03B1A" w:rsidP="00B03B1A">
      <w:pPr>
        <w:pStyle w:val="Prrafodelista"/>
        <w:numPr>
          <w:ilvl w:val="0"/>
          <w:numId w:val="14"/>
        </w:numPr>
        <w:jc w:val="both"/>
        <w:rPr>
          <w:rFonts w:ascii="Arial" w:hAnsi="Arial" w:cs="Arial"/>
          <w:bCs/>
          <w:color w:val="000361"/>
          <w:sz w:val="20"/>
          <w:szCs w:val="20"/>
        </w:rPr>
      </w:pPr>
      <w:r>
        <w:rPr>
          <w:rFonts w:ascii="Arial" w:hAnsi="Arial" w:cs="Arial"/>
          <w:color w:val="000361"/>
          <w:sz w:val="20"/>
          <w:szCs w:val="20"/>
        </w:rPr>
        <w:t xml:space="preserve">Grand View Research. </w:t>
      </w:r>
      <w:r w:rsidRPr="00B03B1A">
        <w:rPr>
          <w:rFonts w:ascii="Arial" w:hAnsi="Arial" w:cs="Arial"/>
          <w:bCs/>
          <w:color w:val="000361"/>
          <w:sz w:val="20"/>
          <w:szCs w:val="20"/>
        </w:rPr>
        <w:t xml:space="preserve">Animal Health Market Size, Share &amp; Trends Analysis Report By Animal Type (Production, Companion), By Distribution Channel (E-commerce, Pharmacy), By Product (Diagnostics, Feed Additives), By End Use, And Segment Forecasts, 2021 </w:t>
      </w:r>
      <w:r>
        <w:rPr>
          <w:rFonts w:ascii="Arial" w:hAnsi="Arial" w:cs="Arial"/>
          <w:bCs/>
          <w:color w:val="000361"/>
          <w:sz w:val="20"/>
          <w:szCs w:val="20"/>
        </w:rPr>
        <w:t>–</w:t>
      </w:r>
      <w:r w:rsidRPr="00B03B1A">
        <w:rPr>
          <w:rFonts w:ascii="Arial" w:hAnsi="Arial" w:cs="Arial"/>
          <w:bCs/>
          <w:color w:val="000361"/>
          <w:sz w:val="20"/>
          <w:szCs w:val="20"/>
        </w:rPr>
        <w:t xml:space="preserve"> 2028</w:t>
      </w:r>
      <w:r>
        <w:rPr>
          <w:rFonts w:ascii="Arial" w:hAnsi="Arial" w:cs="Arial"/>
          <w:bCs/>
          <w:color w:val="000361"/>
          <w:sz w:val="20"/>
          <w:szCs w:val="20"/>
        </w:rPr>
        <w:t>. Market Analysis Report (01/2021)</w:t>
      </w:r>
    </w:p>
    <w:p w:rsidR="00B03B1A" w:rsidRDefault="000F5648" w:rsidP="00B03B1A">
      <w:pPr>
        <w:pStyle w:val="Prrafodelista"/>
        <w:jc w:val="both"/>
        <w:rPr>
          <w:rFonts w:ascii="Arial" w:hAnsi="Arial" w:cs="Arial"/>
          <w:bCs/>
          <w:color w:val="000361"/>
          <w:sz w:val="20"/>
          <w:szCs w:val="20"/>
        </w:rPr>
      </w:pPr>
      <w:hyperlink r:id="rId82" w:history="1">
        <w:r w:rsidR="00B03B1A" w:rsidRPr="00570CA7">
          <w:rPr>
            <w:rStyle w:val="Hipervnculo"/>
            <w:rFonts w:ascii="Arial" w:hAnsi="Arial" w:cs="Arial"/>
            <w:bCs/>
            <w:sz w:val="20"/>
            <w:szCs w:val="20"/>
          </w:rPr>
          <w:t>https://www.grandviewresearch.com/industry-analysis/animal-health-market</w:t>
        </w:r>
      </w:hyperlink>
    </w:p>
    <w:p w:rsidR="00B03B1A" w:rsidRDefault="00B03B1A" w:rsidP="00B03B1A">
      <w:pPr>
        <w:pStyle w:val="Prrafodelista"/>
        <w:jc w:val="both"/>
        <w:rPr>
          <w:rFonts w:ascii="Arial" w:hAnsi="Arial" w:cs="Arial"/>
          <w:bCs/>
          <w:color w:val="000361"/>
          <w:sz w:val="20"/>
          <w:szCs w:val="20"/>
        </w:rPr>
      </w:pPr>
    </w:p>
    <w:p w:rsidR="00B03B1A" w:rsidRDefault="00B03B1A" w:rsidP="00B03B1A">
      <w:pPr>
        <w:pStyle w:val="Prrafodelista"/>
        <w:numPr>
          <w:ilvl w:val="0"/>
          <w:numId w:val="14"/>
        </w:numPr>
        <w:jc w:val="both"/>
        <w:rPr>
          <w:rFonts w:ascii="Arial" w:hAnsi="Arial" w:cs="Arial"/>
          <w:bCs/>
          <w:color w:val="000361"/>
          <w:sz w:val="20"/>
          <w:szCs w:val="20"/>
        </w:rPr>
      </w:pPr>
      <w:r>
        <w:rPr>
          <w:rFonts w:ascii="Arial" w:hAnsi="Arial" w:cs="Arial"/>
          <w:bCs/>
          <w:color w:val="000361"/>
          <w:sz w:val="20"/>
          <w:szCs w:val="20"/>
        </w:rPr>
        <w:t xml:space="preserve">Veterindustria. </w:t>
      </w:r>
      <w:r w:rsidR="00175818">
        <w:rPr>
          <w:rFonts w:ascii="Arial" w:hAnsi="Arial" w:cs="Arial"/>
          <w:bCs/>
          <w:color w:val="000361"/>
          <w:sz w:val="20"/>
          <w:szCs w:val="20"/>
        </w:rPr>
        <w:t>El sector en cifras 2019-2020. Asociación Empresarial Española de la Industria de Sanidad y Nutrición Animal. (2020)</w:t>
      </w:r>
    </w:p>
    <w:p w:rsidR="00175818" w:rsidRDefault="000F5648" w:rsidP="00175818">
      <w:pPr>
        <w:pStyle w:val="Prrafodelista"/>
        <w:jc w:val="both"/>
        <w:rPr>
          <w:rFonts w:ascii="Arial" w:hAnsi="Arial" w:cs="Arial"/>
          <w:bCs/>
          <w:color w:val="000361"/>
          <w:sz w:val="20"/>
          <w:szCs w:val="20"/>
        </w:rPr>
      </w:pPr>
      <w:hyperlink r:id="rId83" w:history="1">
        <w:r w:rsidR="00175818" w:rsidRPr="00570CA7">
          <w:rPr>
            <w:rStyle w:val="Hipervnculo"/>
            <w:rFonts w:ascii="Arial" w:hAnsi="Arial" w:cs="Arial"/>
            <w:bCs/>
            <w:sz w:val="20"/>
            <w:szCs w:val="20"/>
          </w:rPr>
          <w:t>https://www.veterindustria.com/estadisticas/veterindustria/el-sector-en-cifras_108_1_ap.html</w:t>
        </w:r>
      </w:hyperlink>
    </w:p>
    <w:p w:rsidR="00175818" w:rsidRDefault="00175818" w:rsidP="00175818">
      <w:pPr>
        <w:pStyle w:val="Prrafodelista"/>
        <w:jc w:val="both"/>
        <w:rPr>
          <w:rFonts w:ascii="Arial" w:hAnsi="Arial" w:cs="Arial"/>
          <w:bCs/>
          <w:color w:val="000361"/>
          <w:sz w:val="20"/>
          <w:szCs w:val="20"/>
        </w:rPr>
      </w:pPr>
    </w:p>
    <w:p w:rsidR="00175818" w:rsidRDefault="004F20DE" w:rsidP="00A31438">
      <w:pPr>
        <w:pStyle w:val="Prrafodelista"/>
        <w:numPr>
          <w:ilvl w:val="0"/>
          <w:numId w:val="14"/>
        </w:numPr>
        <w:jc w:val="both"/>
        <w:rPr>
          <w:rFonts w:ascii="Arial" w:hAnsi="Arial" w:cs="Arial"/>
          <w:bCs/>
          <w:color w:val="000361"/>
          <w:sz w:val="20"/>
          <w:szCs w:val="20"/>
        </w:rPr>
      </w:pPr>
      <w:r>
        <w:rPr>
          <w:rFonts w:ascii="Arial" w:hAnsi="Arial" w:cs="Arial"/>
          <w:bCs/>
          <w:color w:val="000361"/>
          <w:sz w:val="20"/>
          <w:szCs w:val="20"/>
        </w:rPr>
        <w:t>rumiNews. Ránking de las 20 principales empresas de salud animal durante 2019. Animal Pharm, Archivos de Compañias, IHS Markit (2019)</w:t>
      </w:r>
    </w:p>
    <w:p w:rsidR="004F20DE" w:rsidRDefault="000F5648" w:rsidP="004F20DE">
      <w:pPr>
        <w:pStyle w:val="Prrafodelista"/>
        <w:jc w:val="both"/>
        <w:rPr>
          <w:rFonts w:ascii="Arial" w:hAnsi="Arial" w:cs="Arial"/>
          <w:bCs/>
          <w:color w:val="000361"/>
          <w:sz w:val="20"/>
          <w:szCs w:val="20"/>
        </w:rPr>
      </w:pPr>
      <w:hyperlink r:id="rId84" w:history="1">
        <w:r w:rsidR="004F20DE" w:rsidRPr="00570CA7">
          <w:rPr>
            <w:rStyle w:val="Hipervnculo"/>
            <w:rFonts w:ascii="Arial" w:hAnsi="Arial" w:cs="Arial"/>
            <w:bCs/>
            <w:sz w:val="20"/>
            <w:szCs w:val="20"/>
          </w:rPr>
          <w:t>https://rumiantes.com/ranking-de-las-20-principales-empresas-de-salud-animal-durante-2019/</w:t>
        </w:r>
      </w:hyperlink>
    </w:p>
    <w:p w:rsidR="004F20DE" w:rsidRDefault="004F20DE" w:rsidP="004F20DE">
      <w:pPr>
        <w:pStyle w:val="Prrafodelista"/>
        <w:jc w:val="both"/>
        <w:rPr>
          <w:rFonts w:ascii="Arial" w:hAnsi="Arial" w:cs="Arial"/>
          <w:bCs/>
          <w:color w:val="000361"/>
          <w:sz w:val="20"/>
          <w:szCs w:val="20"/>
        </w:rPr>
      </w:pPr>
    </w:p>
    <w:p w:rsidR="004F20DE" w:rsidRDefault="00A54B6B" w:rsidP="00A54B6B">
      <w:pPr>
        <w:pStyle w:val="Prrafodelista"/>
        <w:numPr>
          <w:ilvl w:val="0"/>
          <w:numId w:val="14"/>
        </w:numPr>
        <w:jc w:val="both"/>
        <w:rPr>
          <w:rFonts w:ascii="Arial" w:hAnsi="Arial" w:cs="Arial"/>
          <w:bCs/>
          <w:color w:val="000361"/>
          <w:sz w:val="20"/>
          <w:szCs w:val="20"/>
        </w:rPr>
      </w:pPr>
      <w:r>
        <w:rPr>
          <w:rFonts w:ascii="Arial" w:hAnsi="Arial" w:cs="Arial"/>
          <w:bCs/>
          <w:color w:val="000361"/>
          <w:sz w:val="20"/>
          <w:szCs w:val="20"/>
        </w:rPr>
        <w:t>statista. Evolución anual del volumen de ingresos de la indústria farmacéutica a nivel mundial de 2001 a 2019. A. Díaz (11/12/2020)</w:t>
      </w:r>
    </w:p>
    <w:p w:rsidR="00A54B6B" w:rsidRDefault="000F5648" w:rsidP="00A54B6B">
      <w:pPr>
        <w:pStyle w:val="Prrafodelista"/>
        <w:jc w:val="both"/>
        <w:rPr>
          <w:rFonts w:ascii="Arial" w:hAnsi="Arial" w:cs="Arial"/>
          <w:bCs/>
          <w:color w:val="000361"/>
          <w:sz w:val="20"/>
          <w:szCs w:val="20"/>
        </w:rPr>
      </w:pPr>
      <w:hyperlink r:id="rId85" w:history="1">
        <w:r w:rsidR="00A54B6B" w:rsidRPr="00570CA7">
          <w:rPr>
            <w:rStyle w:val="Hipervnculo"/>
            <w:rFonts w:ascii="Arial" w:hAnsi="Arial" w:cs="Arial"/>
            <w:bCs/>
            <w:sz w:val="20"/>
            <w:szCs w:val="20"/>
          </w:rPr>
          <w:t>https://es.statista.com/estadisticas/635153/ingresos-mundiales-del-sector-farmaceutico/</w:t>
        </w:r>
      </w:hyperlink>
    </w:p>
    <w:p w:rsidR="00A54B6B" w:rsidRDefault="00A54B6B" w:rsidP="00A54B6B">
      <w:pPr>
        <w:pStyle w:val="Prrafodelista"/>
        <w:jc w:val="both"/>
        <w:rPr>
          <w:rFonts w:ascii="Arial" w:hAnsi="Arial" w:cs="Arial"/>
          <w:bCs/>
          <w:color w:val="000361"/>
          <w:sz w:val="20"/>
          <w:szCs w:val="20"/>
        </w:rPr>
      </w:pPr>
    </w:p>
    <w:p w:rsidR="00A54B6B" w:rsidRPr="00A54B6B" w:rsidRDefault="00A54B6B" w:rsidP="00A54B6B">
      <w:pPr>
        <w:pStyle w:val="Prrafodelista"/>
        <w:jc w:val="both"/>
        <w:rPr>
          <w:rFonts w:ascii="Arial" w:hAnsi="Arial" w:cs="Arial"/>
          <w:bCs/>
          <w:color w:val="000361"/>
          <w:sz w:val="20"/>
          <w:szCs w:val="20"/>
        </w:rPr>
      </w:pPr>
    </w:p>
    <w:p w:rsidR="00B03B1A" w:rsidRPr="00B03B1A" w:rsidRDefault="00B03B1A" w:rsidP="00B03B1A">
      <w:pPr>
        <w:pStyle w:val="Prrafodelista"/>
        <w:jc w:val="both"/>
        <w:rPr>
          <w:rFonts w:ascii="Arial" w:hAnsi="Arial" w:cs="Arial"/>
          <w:color w:val="000361"/>
          <w:sz w:val="20"/>
          <w:szCs w:val="20"/>
        </w:rPr>
      </w:pPr>
    </w:p>
    <w:p w:rsidR="005147A1" w:rsidRDefault="005147A1" w:rsidP="00AB05E3">
      <w:pPr>
        <w:jc w:val="both"/>
        <w:rPr>
          <w:rFonts w:ascii="Arial" w:hAnsi="Arial" w:cs="Arial"/>
          <w:b/>
          <w:color w:val="000361"/>
          <w:sz w:val="20"/>
          <w:szCs w:val="20"/>
        </w:rPr>
      </w:pPr>
      <w:r>
        <w:rPr>
          <w:rFonts w:ascii="Arial" w:hAnsi="Arial" w:cs="Arial"/>
          <w:b/>
          <w:color w:val="000361"/>
          <w:sz w:val="20"/>
          <w:szCs w:val="20"/>
        </w:rPr>
        <w:br w:type="page"/>
      </w:r>
    </w:p>
    <w:p w:rsidR="005147A1" w:rsidRPr="00251FC2" w:rsidRDefault="00BE2EBE" w:rsidP="005147A1">
      <w:pPr>
        <w:rPr>
          <w:rFonts w:ascii="Arial" w:hAnsi="Arial" w:cs="Arial"/>
          <w:b/>
          <w:color w:val="002060"/>
        </w:rPr>
      </w:pPr>
      <w:r>
        <w:rPr>
          <w:rFonts w:ascii="Arial" w:hAnsi="Arial" w:cs="Arial"/>
          <w:b/>
          <w:color w:val="002060"/>
        </w:rPr>
        <w:lastRenderedPageBreak/>
        <w:t xml:space="preserve">9. </w:t>
      </w:r>
      <w:r w:rsidRPr="00251FC2">
        <w:rPr>
          <w:rFonts w:ascii="Arial" w:hAnsi="Arial" w:cs="Arial"/>
          <w:b/>
          <w:color w:val="002060"/>
        </w:rPr>
        <w:t>ABREVIATURES I ACRÒNIMS</w:t>
      </w:r>
    </w:p>
    <w:p w:rsidR="005147A1" w:rsidRPr="00251FC2" w:rsidRDefault="005147A1" w:rsidP="005147A1">
      <w:pPr>
        <w:rPr>
          <w:rFonts w:ascii="Arial" w:hAnsi="Arial" w:cs="Arial"/>
          <w:b/>
          <w:color w:val="002060"/>
        </w:rPr>
      </w:pPr>
    </w:p>
    <w:p w:rsidR="005147A1" w:rsidRDefault="005147A1" w:rsidP="005147A1">
      <w:pPr>
        <w:rPr>
          <w:rFonts w:ascii="Arial" w:hAnsi="Arial" w:cs="Arial"/>
          <w:color w:val="002060"/>
          <w:sz w:val="20"/>
          <w:szCs w:val="20"/>
        </w:rPr>
      </w:pPr>
      <w:r>
        <w:rPr>
          <w:rFonts w:ascii="Arial" w:hAnsi="Arial" w:cs="Arial"/>
          <w:color w:val="002060"/>
          <w:sz w:val="20"/>
          <w:szCs w:val="20"/>
        </w:rPr>
        <w:t>- API: Active Pharmaceutical Ingredient</w:t>
      </w:r>
    </w:p>
    <w:p w:rsidR="005147A1" w:rsidRPr="00251FC2" w:rsidRDefault="005147A1" w:rsidP="005147A1">
      <w:pPr>
        <w:rPr>
          <w:rFonts w:ascii="Arial" w:hAnsi="Arial" w:cs="Arial"/>
          <w:color w:val="002060"/>
          <w:sz w:val="20"/>
          <w:szCs w:val="20"/>
        </w:rPr>
      </w:pPr>
      <w:r>
        <w:rPr>
          <w:rFonts w:ascii="Arial" w:hAnsi="Arial" w:cs="Arial"/>
          <w:color w:val="002060"/>
          <w:sz w:val="20"/>
          <w:szCs w:val="20"/>
        </w:rPr>
        <w:t xml:space="preserve">- </w:t>
      </w:r>
      <w:r w:rsidRPr="00251FC2">
        <w:rPr>
          <w:rFonts w:ascii="Arial" w:hAnsi="Arial" w:cs="Arial"/>
          <w:color w:val="002060"/>
          <w:sz w:val="20"/>
          <w:szCs w:val="20"/>
        </w:rPr>
        <w:t>DAFO</w:t>
      </w:r>
      <w:r>
        <w:rPr>
          <w:rFonts w:ascii="Arial" w:hAnsi="Arial" w:cs="Arial"/>
          <w:color w:val="002060"/>
          <w:sz w:val="20"/>
          <w:szCs w:val="20"/>
        </w:rPr>
        <w:t>: Debilitats, Amenaces, Fortaleses i Oportunitats</w:t>
      </w:r>
    </w:p>
    <w:p w:rsidR="005147A1" w:rsidRPr="00251FC2" w:rsidRDefault="005147A1" w:rsidP="005147A1">
      <w:pPr>
        <w:rPr>
          <w:rFonts w:ascii="Arial" w:hAnsi="Arial" w:cs="Arial"/>
          <w:color w:val="002060"/>
          <w:sz w:val="20"/>
          <w:szCs w:val="20"/>
        </w:rPr>
      </w:pPr>
      <w:r>
        <w:rPr>
          <w:rFonts w:ascii="Arial" w:hAnsi="Arial" w:cs="Arial"/>
          <w:color w:val="002060"/>
          <w:sz w:val="20"/>
          <w:szCs w:val="20"/>
        </w:rPr>
        <w:t>- CAME: Corregir, Afrontar, Mantenir i Explotar</w:t>
      </w:r>
    </w:p>
    <w:p w:rsidR="005147A1" w:rsidRPr="00251FC2" w:rsidRDefault="005147A1" w:rsidP="005147A1">
      <w:pPr>
        <w:rPr>
          <w:rFonts w:ascii="Arial" w:hAnsi="Arial" w:cs="Arial"/>
          <w:color w:val="002060"/>
          <w:sz w:val="20"/>
          <w:szCs w:val="20"/>
        </w:rPr>
      </w:pPr>
      <w:r>
        <w:rPr>
          <w:rFonts w:ascii="Arial" w:hAnsi="Arial" w:cs="Arial"/>
          <w:color w:val="002060"/>
          <w:sz w:val="20"/>
          <w:szCs w:val="20"/>
        </w:rPr>
        <w:t xml:space="preserve">- </w:t>
      </w:r>
      <w:r w:rsidRPr="00251FC2">
        <w:rPr>
          <w:rFonts w:ascii="Arial" w:hAnsi="Arial" w:cs="Arial"/>
          <w:color w:val="002060"/>
          <w:sz w:val="20"/>
          <w:szCs w:val="20"/>
        </w:rPr>
        <w:t>COVID-19</w:t>
      </w:r>
      <w:r>
        <w:rPr>
          <w:rFonts w:ascii="Arial" w:hAnsi="Arial" w:cs="Arial"/>
          <w:color w:val="002060"/>
          <w:sz w:val="20"/>
          <w:szCs w:val="20"/>
        </w:rPr>
        <w:t>: Nom de la malaltia provocada pel coronavirus</w:t>
      </w:r>
    </w:p>
    <w:p w:rsidR="005147A1" w:rsidRDefault="005147A1" w:rsidP="005147A1">
      <w:pPr>
        <w:rPr>
          <w:rFonts w:ascii="Arial" w:hAnsi="Arial" w:cs="Arial"/>
          <w:color w:val="002060"/>
          <w:sz w:val="20"/>
          <w:szCs w:val="20"/>
        </w:rPr>
      </w:pPr>
      <w:r>
        <w:rPr>
          <w:rFonts w:ascii="Arial" w:hAnsi="Arial" w:cs="Arial"/>
          <w:color w:val="002060"/>
          <w:sz w:val="20"/>
          <w:szCs w:val="20"/>
        </w:rPr>
        <w:t>- ECPN: Estat de Canvis en el  Patrimoni Net</w:t>
      </w:r>
    </w:p>
    <w:p w:rsidR="005147A1" w:rsidRDefault="005147A1" w:rsidP="005147A1">
      <w:pPr>
        <w:rPr>
          <w:rFonts w:ascii="Arial" w:hAnsi="Arial" w:cs="Arial"/>
          <w:color w:val="002060"/>
          <w:sz w:val="20"/>
          <w:szCs w:val="20"/>
        </w:rPr>
      </w:pPr>
      <w:r>
        <w:rPr>
          <w:rFonts w:ascii="Arial" w:hAnsi="Arial" w:cs="Arial"/>
          <w:color w:val="002060"/>
          <w:sz w:val="20"/>
          <w:szCs w:val="20"/>
        </w:rPr>
        <w:t>- EEUU: Estats Units</w:t>
      </w:r>
    </w:p>
    <w:p w:rsidR="005147A1" w:rsidRDefault="005147A1" w:rsidP="005147A1">
      <w:pPr>
        <w:rPr>
          <w:rFonts w:ascii="Arial" w:hAnsi="Arial" w:cs="Arial"/>
          <w:color w:val="002060"/>
          <w:sz w:val="20"/>
          <w:szCs w:val="20"/>
        </w:rPr>
      </w:pPr>
      <w:r>
        <w:rPr>
          <w:rFonts w:ascii="Arial" w:hAnsi="Arial" w:cs="Arial"/>
          <w:color w:val="002060"/>
          <w:sz w:val="20"/>
          <w:szCs w:val="20"/>
        </w:rPr>
        <w:t>- EFE: Estat de Fluxes d’Efectiu</w:t>
      </w:r>
    </w:p>
    <w:p w:rsidR="005147A1" w:rsidRDefault="005147A1" w:rsidP="005147A1">
      <w:pPr>
        <w:rPr>
          <w:rFonts w:ascii="Arial" w:hAnsi="Arial" w:cs="Arial"/>
          <w:color w:val="002060"/>
          <w:sz w:val="20"/>
          <w:szCs w:val="20"/>
        </w:rPr>
      </w:pPr>
      <w:r>
        <w:rPr>
          <w:rFonts w:ascii="Arial" w:hAnsi="Arial" w:cs="Arial"/>
          <w:color w:val="002060"/>
          <w:sz w:val="20"/>
          <w:szCs w:val="20"/>
        </w:rPr>
        <w:t>- GLP: Good Laboratory Practices</w:t>
      </w:r>
    </w:p>
    <w:p w:rsidR="005147A1" w:rsidRDefault="005147A1" w:rsidP="005147A1">
      <w:pPr>
        <w:rPr>
          <w:rFonts w:ascii="Arial" w:hAnsi="Arial" w:cs="Arial"/>
          <w:color w:val="002060"/>
          <w:sz w:val="20"/>
          <w:szCs w:val="20"/>
        </w:rPr>
      </w:pPr>
      <w:r>
        <w:rPr>
          <w:rFonts w:ascii="Arial" w:hAnsi="Arial" w:cs="Arial"/>
          <w:color w:val="002060"/>
          <w:sz w:val="20"/>
          <w:szCs w:val="20"/>
        </w:rPr>
        <w:t>- GMP: Good Manufacturing Practice</w:t>
      </w:r>
    </w:p>
    <w:p w:rsidR="005147A1" w:rsidRDefault="005147A1" w:rsidP="005147A1">
      <w:pPr>
        <w:rPr>
          <w:rFonts w:ascii="Arial" w:hAnsi="Arial" w:cs="Arial"/>
          <w:color w:val="002060"/>
          <w:sz w:val="20"/>
          <w:szCs w:val="20"/>
        </w:rPr>
      </w:pPr>
      <w:r>
        <w:rPr>
          <w:rFonts w:ascii="Arial" w:hAnsi="Arial" w:cs="Arial"/>
          <w:color w:val="002060"/>
          <w:sz w:val="20"/>
          <w:szCs w:val="20"/>
        </w:rPr>
        <w:t>- ISO: Organització Internacional de normalització sobre la gestió mediambiental</w:t>
      </w:r>
    </w:p>
    <w:p w:rsidR="005147A1" w:rsidRDefault="005147A1" w:rsidP="005147A1">
      <w:pPr>
        <w:rPr>
          <w:rFonts w:ascii="Arial" w:hAnsi="Arial" w:cs="Arial"/>
          <w:color w:val="002060"/>
          <w:sz w:val="20"/>
          <w:szCs w:val="20"/>
        </w:rPr>
      </w:pPr>
      <w:r>
        <w:rPr>
          <w:rFonts w:ascii="Arial" w:hAnsi="Arial" w:cs="Arial"/>
          <w:color w:val="002060"/>
          <w:sz w:val="20"/>
          <w:szCs w:val="20"/>
        </w:rPr>
        <w:t>- IVA: Impost sobre el Valor Afegit</w:t>
      </w:r>
    </w:p>
    <w:p w:rsidR="005147A1" w:rsidRDefault="005147A1" w:rsidP="005147A1">
      <w:pPr>
        <w:rPr>
          <w:rFonts w:ascii="Arial" w:hAnsi="Arial" w:cs="Arial"/>
          <w:color w:val="002060"/>
          <w:sz w:val="20"/>
          <w:szCs w:val="20"/>
        </w:rPr>
      </w:pPr>
      <w:r>
        <w:rPr>
          <w:rFonts w:ascii="Arial" w:hAnsi="Arial" w:cs="Arial"/>
          <w:color w:val="002060"/>
          <w:sz w:val="20"/>
          <w:szCs w:val="20"/>
        </w:rPr>
        <w:t>- ODS: Objectius de Desenvolupament Sostenible</w:t>
      </w:r>
    </w:p>
    <w:p w:rsidR="005147A1" w:rsidRPr="00251FC2" w:rsidRDefault="005147A1" w:rsidP="005147A1">
      <w:pPr>
        <w:rPr>
          <w:rFonts w:ascii="Arial" w:hAnsi="Arial" w:cs="Arial"/>
          <w:color w:val="002060"/>
          <w:sz w:val="20"/>
          <w:szCs w:val="20"/>
        </w:rPr>
      </w:pPr>
      <w:r>
        <w:rPr>
          <w:rFonts w:ascii="Arial" w:hAnsi="Arial" w:cs="Arial"/>
          <w:color w:val="002060"/>
          <w:sz w:val="20"/>
          <w:szCs w:val="20"/>
        </w:rPr>
        <w:t xml:space="preserve">- </w:t>
      </w:r>
      <w:r w:rsidRPr="00251FC2">
        <w:rPr>
          <w:rFonts w:ascii="Arial" w:hAnsi="Arial" w:cs="Arial"/>
          <w:color w:val="002060"/>
          <w:sz w:val="20"/>
          <w:szCs w:val="20"/>
        </w:rPr>
        <w:t>R+D</w:t>
      </w:r>
      <w:r>
        <w:rPr>
          <w:rFonts w:ascii="Arial" w:hAnsi="Arial" w:cs="Arial"/>
          <w:color w:val="002060"/>
          <w:sz w:val="20"/>
          <w:szCs w:val="20"/>
        </w:rPr>
        <w:t>: Recerca i Desenvolupament</w:t>
      </w:r>
    </w:p>
    <w:p w:rsidR="005147A1" w:rsidRPr="00251FC2" w:rsidRDefault="005147A1" w:rsidP="005147A1">
      <w:pPr>
        <w:rPr>
          <w:rFonts w:ascii="Arial" w:hAnsi="Arial" w:cs="Arial"/>
          <w:color w:val="002060"/>
          <w:sz w:val="20"/>
          <w:szCs w:val="20"/>
        </w:rPr>
      </w:pPr>
      <w:r>
        <w:rPr>
          <w:rFonts w:ascii="Arial" w:hAnsi="Arial" w:cs="Arial"/>
          <w:color w:val="002060"/>
          <w:sz w:val="20"/>
          <w:szCs w:val="20"/>
        </w:rPr>
        <w:t xml:space="preserve">- </w:t>
      </w:r>
      <w:r w:rsidRPr="00251FC2">
        <w:rPr>
          <w:rFonts w:ascii="Arial" w:hAnsi="Arial" w:cs="Arial"/>
          <w:color w:val="002060"/>
          <w:sz w:val="20"/>
          <w:szCs w:val="20"/>
        </w:rPr>
        <w:t>SABI</w:t>
      </w:r>
      <w:r>
        <w:rPr>
          <w:rFonts w:ascii="Arial" w:hAnsi="Arial" w:cs="Arial"/>
          <w:color w:val="002060"/>
          <w:sz w:val="20"/>
          <w:szCs w:val="20"/>
        </w:rPr>
        <w:t>: Sistema de Anàlisi de Balanços Ibèrics</w:t>
      </w:r>
    </w:p>
    <w:p w:rsidR="005147A1" w:rsidRDefault="005147A1" w:rsidP="005147A1">
      <w:pPr>
        <w:rPr>
          <w:rFonts w:ascii="Arial" w:hAnsi="Arial" w:cs="Arial"/>
          <w:color w:val="002060"/>
          <w:sz w:val="20"/>
          <w:szCs w:val="20"/>
        </w:rPr>
      </w:pPr>
      <w:r>
        <w:rPr>
          <w:rFonts w:ascii="Arial" w:hAnsi="Arial" w:cs="Arial"/>
          <w:color w:val="002060"/>
          <w:sz w:val="20"/>
          <w:szCs w:val="20"/>
        </w:rPr>
        <w:t xml:space="preserve">- </w:t>
      </w:r>
      <w:r w:rsidRPr="00251FC2">
        <w:rPr>
          <w:rFonts w:ascii="Arial" w:hAnsi="Arial" w:cs="Arial"/>
          <w:color w:val="002060"/>
          <w:sz w:val="20"/>
          <w:szCs w:val="20"/>
        </w:rPr>
        <w:t>UOC</w:t>
      </w:r>
      <w:r>
        <w:rPr>
          <w:rFonts w:ascii="Arial" w:hAnsi="Arial" w:cs="Arial"/>
          <w:color w:val="002060"/>
          <w:sz w:val="20"/>
          <w:szCs w:val="20"/>
        </w:rPr>
        <w:t>: Universitat Oberta de Catalunya</w:t>
      </w:r>
    </w:p>
    <w:p w:rsidR="005147A1" w:rsidRDefault="005147A1" w:rsidP="005147A1">
      <w:pPr>
        <w:rPr>
          <w:rFonts w:ascii="Arial" w:hAnsi="Arial" w:cs="Arial"/>
          <w:color w:val="002060"/>
          <w:sz w:val="20"/>
          <w:szCs w:val="20"/>
        </w:rPr>
      </w:pPr>
    </w:p>
    <w:p w:rsidR="005147A1" w:rsidRPr="00251FC2" w:rsidRDefault="005147A1" w:rsidP="005147A1">
      <w:pPr>
        <w:rPr>
          <w:rFonts w:ascii="Arial" w:hAnsi="Arial" w:cs="Arial"/>
          <w:color w:val="002060"/>
          <w:sz w:val="20"/>
          <w:szCs w:val="20"/>
        </w:rPr>
      </w:pPr>
    </w:p>
    <w:p w:rsidR="005147A1" w:rsidRPr="00251FC2" w:rsidRDefault="00BE2EBE" w:rsidP="005147A1">
      <w:pPr>
        <w:rPr>
          <w:rFonts w:ascii="Arial" w:hAnsi="Arial" w:cs="Arial"/>
          <w:b/>
          <w:color w:val="002060"/>
        </w:rPr>
      </w:pPr>
      <w:r>
        <w:rPr>
          <w:rFonts w:ascii="Arial" w:hAnsi="Arial" w:cs="Arial"/>
          <w:b/>
          <w:color w:val="002060"/>
        </w:rPr>
        <w:t xml:space="preserve">10. </w:t>
      </w:r>
      <w:r w:rsidRPr="00251FC2">
        <w:rPr>
          <w:rFonts w:ascii="Arial" w:hAnsi="Arial" w:cs="Arial"/>
          <w:b/>
          <w:color w:val="002060"/>
        </w:rPr>
        <w:t>ÍNDEX DE TAULES</w:t>
      </w:r>
    </w:p>
    <w:p w:rsidR="005147A1" w:rsidRPr="00251FC2" w:rsidRDefault="005147A1" w:rsidP="005147A1">
      <w:pPr>
        <w:rPr>
          <w:rFonts w:ascii="Arial" w:hAnsi="Arial" w:cs="Arial"/>
          <w:bCs/>
          <w:color w:val="002060"/>
          <w:sz w:val="20"/>
          <w:szCs w:val="20"/>
        </w:rPr>
      </w:pPr>
    </w:p>
    <w:p w:rsidR="005147A1" w:rsidRDefault="005147A1" w:rsidP="005147A1">
      <w:pPr>
        <w:rPr>
          <w:rFonts w:ascii="Arial" w:hAnsi="Arial" w:cs="Arial"/>
          <w:bCs/>
          <w:color w:val="00206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6519"/>
        <w:gridCol w:w="961"/>
      </w:tblGrid>
      <w:tr w:rsidR="005147A1" w:rsidRPr="006D538F" w:rsidTr="001B7CBB">
        <w:trPr>
          <w:trHeight w:val="567"/>
        </w:trPr>
        <w:tc>
          <w:tcPr>
            <w:tcW w:w="1273"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Taula 2.1</w:t>
            </w:r>
          </w:p>
        </w:tc>
        <w:tc>
          <w:tcPr>
            <w:tcW w:w="6519"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Percentatges verticals del balanç de situació de Laboratoris Hipra s.a. pel període 2019-2015 (en milers d’€)</w:t>
            </w:r>
          </w:p>
        </w:tc>
        <w:tc>
          <w:tcPr>
            <w:tcW w:w="961"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Pàg 12</w:t>
            </w:r>
          </w:p>
        </w:tc>
      </w:tr>
      <w:tr w:rsidR="005147A1" w:rsidRPr="006D538F" w:rsidTr="001B7CBB">
        <w:trPr>
          <w:trHeight w:val="567"/>
        </w:trPr>
        <w:tc>
          <w:tcPr>
            <w:tcW w:w="1273"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Taula 2.2</w:t>
            </w:r>
          </w:p>
        </w:tc>
        <w:tc>
          <w:tcPr>
            <w:tcW w:w="6519"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Percentatges horitzontals del balanç de situació de Laboratoris Hipra s.a. pel període 2019-2015 (en milers d’€)</w:t>
            </w:r>
          </w:p>
        </w:tc>
        <w:tc>
          <w:tcPr>
            <w:tcW w:w="961"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Pàg 14</w:t>
            </w:r>
          </w:p>
        </w:tc>
      </w:tr>
      <w:tr w:rsidR="005147A1" w:rsidRPr="006D538F" w:rsidTr="001B7CBB">
        <w:trPr>
          <w:trHeight w:val="567"/>
        </w:trPr>
        <w:tc>
          <w:tcPr>
            <w:tcW w:w="1273"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Taula 2.3</w:t>
            </w:r>
          </w:p>
        </w:tc>
        <w:tc>
          <w:tcPr>
            <w:tcW w:w="6519" w:type="dxa"/>
          </w:tcPr>
          <w:p w:rsidR="005147A1" w:rsidRPr="006D538F" w:rsidRDefault="005147A1" w:rsidP="001B7CBB">
            <w:pPr>
              <w:rPr>
                <w:rFonts w:ascii="Arial" w:hAnsi="Arial" w:cs="Arial"/>
                <w:bCs/>
                <w:color w:val="002060"/>
                <w:sz w:val="20"/>
                <w:szCs w:val="20"/>
              </w:rPr>
            </w:pPr>
            <w:r w:rsidRPr="006D538F">
              <w:rPr>
                <w:rFonts w:ascii="Arial" w:hAnsi="Arial" w:cs="Arial"/>
                <w:color w:val="002060"/>
                <w:sz w:val="20"/>
                <w:szCs w:val="20"/>
              </w:rPr>
              <w:t>Ràtios financeres de Laboratoris Hipra</w:t>
            </w:r>
          </w:p>
        </w:tc>
        <w:tc>
          <w:tcPr>
            <w:tcW w:w="961"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Pàg 17</w:t>
            </w:r>
          </w:p>
        </w:tc>
      </w:tr>
      <w:tr w:rsidR="005147A1" w:rsidRPr="006D538F" w:rsidTr="001B7CBB">
        <w:trPr>
          <w:trHeight w:val="567"/>
        </w:trPr>
        <w:tc>
          <w:tcPr>
            <w:tcW w:w="1273"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Taula 2.4</w:t>
            </w:r>
          </w:p>
        </w:tc>
        <w:tc>
          <w:tcPr>
            <w:tcW w:w="6519"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Percentatges verticals del compte de pèrdues i guanys de Laboratoris Hipra pel període 2015-2019 (en milers d'€)</w:t>
            </w:r>
          </w:p>
        </w:tc>
        <w:tc>
          <w:tcPr>
            <w:tcW w:w="961"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Pàg 20</w:t>
            </w:r>
          </w:p>
        </w:tc>
      </w:tr>
      <w:tr w:rsidR="005147A1" w:rsidRPr="006D538F" w:rsidTr="001B7CBB">
        <w:trPr>
          <w:trHeight w:val="567"/>
        </w:trPr>
        <w:tc>
          <w:tcPr>
            <w:tcW w:w="1273"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Taula 2.5</w:t>
            </w:r>
          </w:p>
        </w:tc>
        <w:tc>
          <w:tcPr>
            <w:tcW w:w="6519"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Percentatges horitzontals del compte de pèrdues i guanys de Laboratoris Hipra pel període 2015-2019 (en milers d'€)</w:t>
            </w:r>
          </w:p>
        </w:tc>
        <w:tc>
          <w:tcPr>
            <w:tcW w:w="961"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Pàg 21</w:t>
            </w:r>
          </w:p>
        </w:tc>
      </w:tr>
      <w:tr w:rsidR="005147A1" w:rsidRPr="006D538F" w:rsidTr="001B7CBB">
        <w:trPr>
          <w:trHeight w:val="567"/>
        </w:trPr>
        <w:tc>
          <w:tcPr>
            <w:tcW w:w="1273"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Taula 2.6</w:t>
            </w:r>
          </w:p>
        </w:tc>
        <w:tc>
          <w:tcPr>
            <w:tcW w:w="6519" w:type="dxa"/>
          </w:tcPr>
          <w:p w:rsidR="005147A1" w:rsidRPr="006D538F" w:rsidRDefault="005147A1" w:rsidP="001B7CBB">
            <w:pPr>
              <w:rPr>
                <w:rFonts w:ascii="Arial" w:hAnsi="Arial" w:cs="Arial"/>
                <w:bCs/>
                <w:color w:val="002060"/>
                <w:sz w:val="20"/>
                <w:szCs w:val="20"/>
              </w:rPr>
            </w:pPr>
            <w:r w:rsidRPr="006D538F">
              <w:rPr>
                <w:rFonts w:ascii="Arial" w:hAnsi="Arial" w:cs="Arial"/>
                <w:color w:val="002060"/>
                <w:sz w:val="20"/>
                <w:szCs w:val="20"/>
              </w:rPr>
              <w:t>Anàlisi dels períodes de cobrament i pagament de Laboratoris Hipra pels exercicis 2015 al 2019 (en dies)</w:t>
            </w:r>
          </w:p>
        </w:tc>
        <w:tc>
          <w:tcPr>
            <w:tcW w:w="961"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Pàg 23</w:t>
            </w:r>
          </w:p>
        </w:tc>
      </w:tr>
      <w:tr w:rsidR="005147A1" w:rsidRPr="006D538F" w:rsidTr="001B7CBB">
        <w:trPr>
          <w:trHeight w:val="567"/>
        </w:trPr>
        <w:tc>
          <w:tcPr>
            <w:tcW w:w="1273"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Taula 2.7</w:t>
            </w:r>
          </w:p>
        </w:tc>
        <w:tc>
          <w:tcPr>
            <w:tcW w:w="6519"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Palanquejament Operatiu de Laboratoris Hipra pels exercicis 2015-2019(milers €)</w:t>
            </w:r>
          </w:p>
        </w:tc>
        <w:tc>
          <w:tcPr>
            <w:tcW w:w="961"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Pàg 24</w:t>
            </w:r>
          </w:p>
        </w:tc>
      </w:tr>
      <w:tr w:rsidR="005147A1" w:rsidRPr="006D538F" w:rsidTr="001B7CBB">
        <w:trPr>
          <w:trHeight w:val="567"/>
        </w:trPr>
        <w:tc>
          <w:tcPr>
            <w:tcW w:w="1273"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Taula 2.8</w:t>
            </w:r>
          </w:p>
        </w:tc>
        <w:tc>
          <w:tcPr>
            <w:tcW w:w="6519"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Anàlisi de la rendibilitat de Laboratoris Hipra pels exercicis 2015 al 2019 (en milers d'€)</w:t>
            </w:r>
          </w:p>
        </w:tc>
        <w:tc>
          <w:tcPr>
            <w:tcW w:w="961"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Pàg 24</w:t>
            </w:r>
          </w:p>
        </w:tc>
      </w:tr>
      <w:tr w:rsidR="005147A1" w:rsidRPr="006D538F" w:rsidTr="001B7CBB">
        <w:trPr>
          <w:trHeight w:val="567"/>
        </w:trPr>
        <w:tc>
          <w:tcPr>
            <w:tcW w:w="1273"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Taula 2.9</w:t>
            </w:r>
          </w:p>
        </w:tc>
        <w:tc>
          <w:tcPr>
            <w:tcW w:w="6519" w:type="dxa"/>
          </w:tcPr>
          <w:p w:rsidR="005147A1" w:rsidRPr="006D538F" w:rsidRDefault="005147A1" w:rsidP="001B7CBB">
            <w:pPr>
              <w:rPr>
                <w:rFonts w:ascii="Arial" w:hAnsi="Arial" w:cs="Arial"/>
                <w:bCs/>
                <w:color w:val="002060"/>
                <w:sz w:val="20"/>
                <w:szCs w:val="20"/>
              </w:rPr>
            </w:pPr>
            <w:r w:rsidRPr="006D538F">
              <w:rPr>
                <w:rFonts w:ascii="Arial" w:hAnsi="Arial" w:cs="Arial"/>
                <w:color w:val="002060"/>
                <w:sz w:val="20"/>
                <w:szCs w:val="20"/>
              </w:rPr>
              <w:t>ECPN de Laboratoris Hipra pels exercicis 2016 al 2019</w:t>
            </w:r>
          </w:p>
        </w:tc>
        <w:tc>
          <w:tcPr>
            <w:tcW w:w="961"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Pàg 26</w:t>
            </w:r>
          </w:p>
        </w:tc>
      </w:tr>
      <w:tr w:rsidR="005147A1" w:rsidRPr="006D538F" w:rsidTr="001B7CBB">
        <w:trPr>
          <w:trHeight w:val="567"/>
        </w:trPr>
        <w:tc>
          <w:tcPr>
            <w:tcW w:w="1273"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Taula 2.10</w:t>
            </w:r>
          </w:p>
        </w:tc>
        <w:tc>
          <w:tcPr>
            <w:tcW w:w="6519" w:type="dxa"/>
          </w:tcPr>
          <w:p w:rsidR="005147A1" w:rsidRPr="006D538F" w:rsidRDefault="005147A1" w:rsidP="001B7CBB">
            <w:pPr>
              <w:rPr>
                <w:rFonts w:ascii="Arial" w:hAnsi="Arial" w:cs="Arial"/>
                <w:bCs/>
                <w:color w:val="002060"/>
                <w:sz w:val="20"/>
                <w:szCs w:val="20"/>
              </w:rPr>
            </w:pPr>
            <w:r w:rsidRPr="006D538F">
              <w:rPr>
                <w:rFonts w:ascii="Arial" w:hAnsi="Arial" w:cs="Arial"/>
                <w:color w:val="002060"/>
                <w:sz w:val="20"/>
                <w:szCs w:val="20"/>
              </w:rPr>
              <w:t>Reinversió del resultat de l’exercici anterior (ECPN)</w:t>
            </w:r>
          </w:p>
        </w:tc>
        <w:tc>
          <w:tcPr>
            <w:tcW w:w="961"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Pàg 27</w:t>
            </w:r>
          </w:p>
        </w:tc>
      </w:tr>
      <w:tr w:rsidR="005147A1" w:rsidRPr="006D538F" w:rsidTr="001B7CBB">
        <w:trPr>
          <w:trHeight w:val="567"/>
        </w:trPr>
        <w:tc>
          <w:tcPr>
            <w:tcW w:w="1273"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Taula 2.11</w:t>
            </w:r>
          </w:p>
        </w:tc>
        <w:tc>
          <w:tcPr>
            <w:tcW w:w="6519"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Anàlisi de l'estat de fluxos d'efectiu de Laboratoris Hipra dels dels exercicis 2015 al 2019 (en milers d'€)</w:t>
            </w:r>
          </w:p>
        </w:tc>
        <w:tc>
          <w:tcPr>
            <w:tcW w:w="961"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Pàg 27</w:t>
            </w:r>
          </w:p>
        </w:tc>
      </w:tr>
      <w:tr w:rsidR="005147A1" w:rsidRPr="006D538F" w:rsidTr="001B7CBB">
        <w:trPr>
          <w:trHeight w:val="567"/>
        </w:trPr>
        <w:tc>
          <w:tcPr>
            <w:tcW w:w="1273"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Taula 3.1</w:t>
            </w:r>
          </w:p>
        </w:tc>
        <w:tc>
          <w:tcPr>
            <w:tcW w:w="6519"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Empreses competidores</w:t>
            </w:r>
          </w:p>
        </w:tc>
        <w:tc>
          <w:tcPr>
            <w:tcW w:w="961"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Pàg 30</w:t>
            </w:r>
          </w:p>
        </w:tc>
      </w:tr>
      <w:tr w:rsidR="005147A1" w:rsidRPr="006D538F" w:rsidTr="001B7CBB">
        <w:trPr>
          <w:trHeight w:val="567"/>
        </w:trPr>
        <w:tc>
          <w:tcPr>
            <w:tcW w:w="1273"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Taula 3.2</w:t>
            </w:r>
          </w:p>
        </w:tc>
        <w:tc>
          <w:tcPr>
            <w:tcW w:w="6519"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Matriu DAFO</w:t>
            </w:r>
          </w:p>
        </w:tc>
        <w:tc>
          <w:tcPr>
            <w:tcW w:w="961"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Pàg 42</w:t>
            </w:r>
          </w:p>
        </w:tc>
      </w:tr>
      <w:tr w:rsidR="005147A1" w:rsidRPr="006D538F" w:rsidTr="001B7CBB">
        <w:trPr>
          <w:trHeight w:val="567"/>
        </w:trPr>
        <w:tc>
          <w:tcPr>
            <w:tcW w:w="1273"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Taula 4.1</w:t>
            </w:r>
          </w:p>
        </w:tc>
        <w:tc>
          <w:tcPr>
            <w:tcW w:w="6519" w:type="dxa"/>
          </w:tcPr>
          <w:p w:rsidR="005147A1" w:rsidRPr="006D538F" w:rsidRDefault="005147A1" w:rsidP="001B7CBB">
            <w:pPr>
              <w:rPr>
                <w:rFonts w:ascii="Arial" w:hAnsi="Arial" w:cs="Arial"/>
                <w:bCs/>
                <w:color w:val="002060"/>
                <w:sz w:val="20"/>
                <w:szCs w:val="20"/>
              </w:rPr>
            </w:pPr>
            <w:r w:rsidRPr="006D538F">
              <w:rPr>
                <w:rFonts w:ascii="Arial" w:hAnsi="Arial" w:cs="Arial"/>
                <w:color w:val="002060"/>
                <w:sz w:val="20"/>
                <w:szCs w:val="20"/>
              </w:rPr>
              <w:t>Distribució de les vendes de Hipra segons tipologia de producte anys 2009 i 2019</w:t>
            </w:r>
          </w:p>
        </w:tc>
        <w:tc>
          <w:tcPr>
            <w:tcW w:w="961" w:type="dxa"/>
          </w:tcPr>
          <w:p w:rsidR="005147A1" w:rsidRPr="006D538F" w:rsidRDefault="005147A1" w:rsidP="001B7CBB">
            <w:pPr>
              <w:rPr>
                <w:rFonts w:ascii="Arial" w:hAnsi="Arial" w:cs="Arial"/>
                <w:bCs/>
                <w:color w:val="002060"/>
                <w:sz w:val="20"/>
                <w:szCs w:val="20"/>
              </w:rPr>
            </w:pPr>
            <w:r w:rsidRPr="006D538F">
              <w:rPr>
                <w:rFonts w:ascii="Arial" w:hAnsi="Arial" w:cs="Arial"/>
                <w:bCs/>
                <w:color w:val="002060"/>
                <w:sz w:val="20"/>
                <w:szCs w:val="20"/>
              </w:rPr>
              <w:t>Pàg 44</w:t>
            </w:r>
          </w:p>
        </w:tc>
      </w:tr>
    </w:tbl>
    <w:p w:rsidR="005147A1" w:rsidRDefault="005147A1" w:rsidP="005147A1">
      <w:pPr>
        <w:rPr>
          <w:rFonts w:ascii="Arial" w:hAnsi="Arial" w:cs="Arial"/>
          <w:bCs/>
          <w:color w:val="002060"/>
          <w:sz w:val="20"/>
          <w:szCs w:val="20"/>
        </w:rPr>
      </w:pPr>
    </w:p>
    <w:p w:rsidR="005147A1" w:rsidRPr="00251FC2" w:rsidRDefault="005147A1" w:rsidP="005147A1">
      <w:pPr>
        <w:rPr>
          <w:rFonts w:ascii="Arial" w:hAnsi="Arial" w:cs="Arial"/>
          <w:color w:val="002060"/>
          <w:sz w:val="20"/>
          <w:szCs w:val="20"/>
        </w:rPr>
      </w:pPr>
    </w:p>
    <w:p w:rsidR="005147A1" w:rsidRPr="00251FC2" w:rsidRDefault="00BE2EBE" w:rsidP="005147A1">
      <w:pPr>
        <w:rPr>
          <w:rFonts w:ascii="Arial" w:hAnsi="Arial" w:cs="Arial"/>
          <w:b/>
          <w:color w:val="002060"/>
        </w:rPr>
      </w:pPr>
      <w:r>
        <w:rPr>
          <w:rFonts w:ascii="Arial" w:hAnsi="Arial" w:cs="Arial"/>
          <w:b/>
          <w:color w:val="002060"/>
        </w:rPr>
        <w:lastRenderedPageBreak/>
        <w:t xml:space="preserve">11. </w:t>
      </w:r>
      <w:r w:rsidRPr="00251FC2">
        <w:rPr>
          <w:rFonts w:ascii="Arial" w:hAnsi="Arial" w:cs="Arial"/>
          <w:b/>
          <w:color w:val="002060"/>
        </w:rPr>
        <w:t>ÍNDEX DE GRÀFICS</w:t>
      </w:r>
    </w:p>
    <w:p w:rsidR="005147A1" w:rsidRDefault="005147A1" w:rsidP="005147A1">
      <w:pPr>
        <w:jc w:val="both"/>
        <w:rPr>
          <w:rFonts w:ascii="Arial" w:hAnsi="Arial" w:cs="Arial"/>
          <w:color w:val="002060"/>
          <w:sz w:val="20"/>
          <w:szCs w:val="20"/>
        </w:rPr>
      </w:pPr>
    </w:p>
    <w:p w:rsidR="005147A1" w:rsidRPr="001A6EA5" w:rsidRDefault="005147A1" w:rsidP="005147A1">
      <w:pPr>
        <w:jc w:val="both"/>
        <w:rPr>
          <w:rFonts w:ascii="Arial" w:hAnsi="Arial" w:cs="Arial"/>
          <w:color w:val="00206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6344"/>
        <w:gridCol w:w="992"/>
      </w:tblGrid>
      <w:tr w:rsidR="005147A1" w:rsidRPr="00EA7972" w:rsidTr="001B7CBB">
        <w:trPr>
          <w:trHeight w:val="567"/>
        </w:trPr>
        <w:tc>
          <w:tcPr>
            <w:tcW w:w="1306" w:type="dxa"/>
          </w:tcPr>
          <w:p w:rsidR="005147A1" w:rsidRPr="00EA7972" w:rsidRDefault="005147A1" w:rsidP="001B7CBB">
            <w:pPr>
              <w:jc w:val="both"/>
              <w:rPr>
                <w:rFonts w:ascii="Arial" w:hAnsi="Arial" w:cs="Arial"/>
                <w:color w:val="002060"/>
                <w:sz w:val="20"/>
                <w:szCs w:val="20"/>
              </w:rPr>
            </w:pPr>
            <w:r w:rsidRPr="00EA7972">
              <w:rPr>
                <w:rFonts w:ascii="Arial" w:hAnsi="Arial" w:cs="Arial"/>
                <w:noProof/>
                <w:color w:val="002060"/>
                <w:sz w:val="20"/>
                <w:szCs w:val="20"/>
              </w:rPr>
              <w:t>Gràfic 2.1</w:t>
            </w:r>
          </w:p>
        </w:tc>
        <w:tc>
          <w:tcPr>
            <w:tcW w:w="6344" w:type="dxa"/>
          </w:tcPr>
          <w:p w:rsidR="005147A1" w:rsidRPr="00EA7972" w:rsidRDefault="005147A1" w:rsidP="001B7CBB">
            <w:pPr>
              <w:jc w:val="both"/>
              <w:rPr>
                <w:rFonts w:ascii="Arial" w:hAnsi="Arial" w:cs="Arial"/>
                <w:color w:val="002060"/>
                <w:sz w:val="20"/>
                <w:szCs w:val="20"/>
              </w:rPr>
            </w:pPr>
            <w:r w:rsidRPr="00EA7972">
              <w:rPr>
                <w:rFonts w:ascii="Arial" w:hAnsi="Arial" w:cs="Arial"/>
                <w:noProof/>
                <w:color w:val="002060"/>
                <w:sz w:val="20"/>
                <w:szCs w:val="20"/>
              </w:rPr>
              <w:t>Estructura de l’actiu (anys 2019-2015)</w:t>
            </w:r>
          </w:p>
        </w:tc>
        <w:tc>
          <w:tcPr>
            <w:tcW w:w="992" w:type="dxa"/>
          </w:tcPr>
          <w:p w:rsidR="005147A1" w:rsidRPr="00EA7972" w:rsidRDefault="005147A1" w:rsidP="001B7CBB">
            <w:pPr>
              <w:jc w:val="both"/>
              <w:rPr>
                <w:rFonts w:ascii="Arial" w:hAnsi="Arial" w:cs="Arial"/>
                <w:color w:val="002060"/>
                <w:sz w:val="20"/>
                <w:szCs w:val="20"/>
              </w:rPr>
            </w:pPr>
            <w:r>
              <w:rPr>
                <w:rFonts w:ascii="Arial" w:hAnsi="Arial" w:cs="Arial"/>
                <w:color w:val="002060"/>
                <w:sz w:val="20"/>
                <w:szCs w:val="20"/>
              </w:rPr>
              <w:t xml:space="preserve">Pàg </w:t>
            </w:r>
            <w:r w:rsidRPr="00EA7972">
              <w:rPr>
                <w:rFonts w:ascii="Arial" w:hAnsi="Arial" w:cs="Arial"/>
                <w:color w:val="002060"/>
                <w:sz w:val="20"/>
                <w:szCs w:val="20"/>
              </w:rPr>
              <w:t>16</w:t>
            </w:r>
          </w:p>
        </w:tc>
      </w:tr>
      <w:tr w:rsidR="005147A1" w:rsidRPr="00EA7972" w:rsidTr="001B7CBB">
        <w:trPr>
          <w:trHeight w:val="567"/>
        </w:trPr>
        <w:tc>
          <w:tcPr>
            <w:tcW w:w="1306" w:type="dxa"/>
          </w:tcPr>
          <w:p w:rsidR="005147A1" w:rsidRPr="00EA7972" w:rsidRDefault="005147A1" w:rsidP="001B7CBB">
            <w:pPr>
              <w:jc w:val="both"/>
              <w:rPr>
                <w:rFonts w:ascii="Arial" w:hAnsi="Arial" w:cs="Arial"/>
                <w:color w:val="002060"/>
                <w:sz w:val="20"/>
                <w:szCs w:val="20"/>
              </w:rPr>
            </w:pPr>
            <w:r w:rsidRPr="00EA7972">
              <w:rPr>
                <w:rFonts w:ascii="Arial" w:hAnsi="Arial" w:cs="Arial"/>
                <w:noProof/>
                <w:color w:val="002060"/>
                <w:sz w:val="20"/>
                <w:szCs w:val="20"/>
              </w:rPr>
              <w:t>Gràfic 2.2</w:t>
            </w:r>
          </w:p>
        </w:tc>
        <w:tc>
          <w:tcPr>
            <w:tcW w:w="6344" w:type="dxa"/>
          </w:tcPr>
          <w:p w:rsidR="005147A1" w:rsidRPr="00EA7972" w:rsidRDefault="005147A1" w:rsidP="001B7CBB">
            <w:pPr>
              <w:jc w:val="both"/>
              <w:rPr>
                <w:rFonts w:ascii="Arial" w:hAnsi="Arial" w:cs="Arial"/>
                <w:color w:val="002060"/>
                <w:sz w:val="20"/>
                <w:szCs w:val="20"/>
              </w:rPr>
            </w:pPr>
            <w:r w:rsidRPr="00EA7972">
              <w:rPr>
                <w:rFonts w:ascii="Arial" w:hAnsi="Arial" w:cs="Arial"/>
                <w:noProof/>
                <w:color w:val="002060"/>
                <w:sz w:val="20"/>
                <w:szCs w:val="20"/>
              </w:rPr>
              <w:t>Estructura del passiu (anys 2019-2015)</w:t>
            </w:r>
          </w:p>
        </w:tc>
        <w:tc>
          <w:tcPr>
            <w:tcW w:w="992" w:type="dxa"/>
          </w:tcPr>
          <w:p w:rsidR="005147A1" w:rsidRPr="00EA7972" w:rsidRDefault="005147A1" w:rsidP="001B7CBB">
            <w:pPr>
              <w:jc w:val="both"/>
              <w:rPr>
                <w:rFonts w:ascii="Arial" w:hAnsi="Arial" w:cs="Arial"/>
                <w:color w:val="002060"/>
                <w:sz w:val="20"/>
                <w:szCs w:val="20"/>
              </w:rPr>
            </w:pPr>
            <w:r>
              <w:rPr>
                <w:rFonts w:ascii="Arial" w:hAnsi="Arial" w:cs="Arial"/>
                <w:color w:val="002060"/>
                <w:sz w:val="20"/>
                <w:szCs w:val="20"/>
              </w:rPr>
              <w:t xml:space="preserve">Pàg </w:t>
            </w:r>
            <w:r w:rsidRPr="00EA7972">
              <w:rPr>
                <w:rFonts w:ascii="Arial" w:hAnsi="Arial" w:cs="Arial"/>
                <w:color w:val="002060"/>
                <w:sz w:val="20"/>
                <w:szCs w:val="20"/>
              </w:rPr>
              <w:t>16</w:t>
            </w:r>
          </w:p>
        </w:tc>
      </w:tr>
      <w:tr w:rsidR="005147A1" w:rsidRPr="00EA7972" w:rsidTr="001B7CBB">
        <w:trPr>
          <w:trHeight w:val="567"/>
        </w:trPr>
        <w:tc>
          <w:tcPr>
            <w:tcW w:w="1306" w:type="dxa"/>
          </w:tcPr>
          <w:p w:rsidR="005147A1" w:rsidRPr="00EA7972" w:rsidRDefault="005147A1" w:rsidP="001B7CBB">
            <w:pPr>
              <w:jc w:val="both"/>
              <w:rPr>
                <w:rFonts w:ascii="Arial" w:hAnsi="Arial" w:cs="Arial"/>
                <w:color w:val="002060"/>
                <w:sz w:val="20"/>
                <w:szCs w:val="20"/>
              </w:rPr>
            </w:pPr>
            <w:r w:rsidRPr="00EA7972">
              <w:rPr>
                <w:rFonts w:ascii="Arial" w:hAnsi="Arial" w:cs="Arial"/>
                <w:noProof/>
                <w:color w:val="002060"/>
                <w:sz w:val="20"/>
                <w:szCs w:val="20"/>
              </w:rPr>
              <w:t>Gràfic 2.3</w:t>
            </w:r>
          </w:p>
        </w:tc>
        <w:tc>
          <w:tcPr>
            <w:tcW w:w="6344"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Fons de maniobra de Hipra l’any 2019</w:t>
            </w:r>
          </w:p>
        </w:tc>
        <w:tc>
          <w:tcPr>
            <w:tcW w:w="992" w:type="dxa"/>
          </w:tcPr>
          <w:p w:rsidR="005147A1" w:rsidRPr="00EA7972" w:rsidRDefault="005147A1" w:rsidP="001B7CBB">
            <w:pPr>
              <w:jc w:val="both"/>
              <w:rPr>
                <w:rFonts w:ascii="Arial" w:hAnsi="Arial" w:cs="Arial"/>
                <w:color w:val="002060"/>
                <w:sz w:val="20"/>
                <w:szCs w:val="20"/>
              </w:rPr>
            </w:pPr>
            <w:r>
              <w:rPr>
                <w:rFonts w:ascii="Arial" w:hAnsi="Arial" w:cs="Arial"/>
                <w:color w:val="002060"/>
                <w:sz w:val="20"/>
                <w:szCs w:val="20"/>
              </w:rPr>
              <w:t xml:space="preserve">Pàg </w:t>
            </w:r>
            <w:r w:rsidRPr="00EA7972">
              <w:rPr>
                <w:rFonts w:ascii="Arial" w:hAnsi="Arial" w:cs="Arial"/>
                <w:color w:val="002060"/>
                <w:sz w:val="20"/>
                <w:szCs w:val="20"/>
              </w:rPr>
              <w:t>18</w:t>
            </w:r>
          </w:p>
        </w:tc>
      </w:tr>
      <w:tr w:rsidR="005147A1" w:rsidRPr="00EA7972" w:rsidTr="001B7CBB">
        <w:trPr>
          <w:trHeight w:val="567"/>
        </w:trPr>
        <w:tc>
          <w:tcPr>
            <w:tcW w:w="1306" w:type="dxa"/>
          </w:tcPr>
          <w:p w:rsidR="005147A1" w:rsidRPr="00EA7972" w:rsidRDefault="005147A1" w:rsidP="001B7CBB">
            <w:pPr>
              <w:jc w:val="both"/>
              <w:rPr>
                <w:rFonts w:ascii="Arial" w:hAnsi="Arial" w:cs="Arial"/>
                <w:color w:val="002060"/>
                <w:sz w:val="20"/>
                <w:szCs w:val="20"/>
              </w:rPr>
            </w:pPr>
            <w:r w:rsidRPr="00EA7972">
              <w:rPr>
                <w:rFonts w:ascii="Arial" w:hAnsi="Arial" w:cs="Arial"/>
                <w:noProof/>
                <w:color w:val="002060"/>
                <w:sz w:val="20"/>
                <w:szCs w:val="20"/>
              </w:rPr>
              <w:t>Gràfic 2.4</w:t>
            </w:r>
          </w:p>
        </w:tc>
        <w:tc>
          <w:tcPr>
            <w:tcW w:w="6344"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Tendència sobre les variacions acumulades de les partides més rellevants del compte de pèrdues i guanys de Laboratoris Hipra</w:t>
            </w:r>
          </w:p>
        </w:tc>
        <w:tc>
          <w:tcPr>
            <w:tcW w:w="992" w:type="dxa"/>
          </w:tcPr>
          <w:p w:rsidR="005147A1" w:rsidRPr="00EA7972" w:rsidRDefault="005147A1" w:rsidP="001B7CBB">
            <w:pPr>
              <w:jc w:val="both"/>
              <w:rPr>
                <w:rFonts w:ascii="Arial" w:hAnsi="Arial" w:cs="Arial"/>
                <w:color w:val="002060"/>
                <w:sz w:val="20"/>
                <w:szCs w:val="20"/>
              </w:rPr>
            </w:pPr>
            <w:r>
              <w:rPr>
                <w:rFonts w:ascii="Arial" w:hAnsi="Arial" w:cs="Arial"/>
                <w:color w:val="002060"/>
                <w:sz w:val="20"/>
                <w:szCs w:val="20"/>
              </w:rPr>
              <w:t xml:space="preserve">Pàg </w:t>
            </w:r>
            <w:r w:rsidRPr="00EA7972">
              <w:rPr>
                <w:rFonts w:ascii="Arial" w:hAnsi="Arial" w:cs="Arial"/>
                <w:color w:val="002060"/>
                <w:sz w:val="20"/>
                <w:szCs w:val="20"/>
              </w:rPr>
              <w:t>22</w:t>
            </w:r>
          </w:p>
        </w:tc>
      </w:tr>
      <w:tr w:rsidR="005147A1" w:rsidRPr="00EA7972" w:rsidTr="001B7CBB">
        <w:trPr>
          <w:trHeight w:val="567"/>
        </w:trPr>
        <w:tc>
          <w:tcPr>
            <w:tcW w:w="1306"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Gràfic 3.1</w:t>
            </w:r>
          </w:p>
        </w:tc>
        <w:tc>
          <w:tcPr>
            <w:tcW w:w="6344"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Ingressos indústria farmacèutica</w:t>
            </w:r>
          </w:p>
        </w:tc>
        <w:tc>
          <w:tcPr>
            <w:tcW w:w="992" w:type="dxa"/>
          </w:tcPr>
          <w:p w:rsidR="005147A1" w:rsidRPr="00EA7972" w:rsidRDefault="005147A1" w:rsidP="001B7CBB">
            <w:pPr>
              <w:jc w:val="both"/>
              <w:rPr>
                <w:rFonts w:ascii="Arial" w:hAnsi="Arial" w:cs="Arial"/>
                <w:color w:val="002060"/>
                <w:sz w:val="20"/>
                <w:szCs w:val="20"/>
              </w:rPr>
            </w:pPr>
            <w:r>
              <w:rPr>
                <w:rFonts w:ascii="Arial" w:hAnsi="Arial" w:cs="Arial"/>
                <w:color w:val="002060"/>
                <w:sz w:val="20"/>
                <w:szCs w:val="20"/>
              </w:rPr>
              <w:t xml:space="preserve">Pàg </w:t>
            </w:r>
            <w:r w:rsidRPr="00EA7972">
              <w:rPr>
                <w:rFonts w:ascii="Arial" w:hAnsi="Arial" w:cs="Arial"/>
                <w:color w:val="002060"/>
                <w:sz w:val="20"/>
                <w:szCs w:val="20"/>
              </w:rPr>
              <w:t>30</w:t>
            </w:r>
          </w:p>
        </w:tc>
      </w:tr>
      <w:tr w:rsidR="005147A1" w:rsidRPr="00EA7972" w:rsidTr="001B7CBB">
        <w:trPr>
          <w:trHeight w:val="567"/>
        </w:trPr>
        <w:tc>
          <w:tcPr>
            <w:tcW w:w="1306"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Gràfic 3.2</w:t>
            </w:r>
          </w:p>
        </w:tc>
        <w:tc>
          <w:tcPr>
            <w:tcW w:w="6344"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Ingressos del sector animal dins la indústria farmacèutica</w:t>
            </w:r>
          </w:p>
        </w:tc>
        <w:tc>
          <w:tcPr>
            <w:tcW w:w="992" w:type="dxa"/>
          </w:tcPr>
          <w:p w:rsidR="005147A1" w:rsidRPr="00EA7972" w:rsidRDefault="005147A1" w:rsidP="001B7CBB">
            <w:pPr>
              <w:jc w:val="both"/>
              <w:rPr>
                <w:rFonts w:ascii="Arial" w:hAnsi="Arial" w:cs="Arial"/>
                <w:color w:val="002060"/>
                <w:sz w:val="20"/>
                <w:szCs w:val="20"/>
              </w:rPr>
            </w:pPr>
            <w:r>
              <w:rPr>
                <w:rFonts w:ascii="Arial" w:hAnsi="Arial" w:cs="Arial"/>
                <w:color w:val="002060"/>
                <w:sz w:val="20"/>
                <w:szCs w:val="20"/>
              </w:rPr>
              <w:t xml:space="preserve">Pàg </w:t>
            </w:r>
            <w:r w:rsidRPr="00EA7972">
              <w:rPr>
                <w:rFonts w:ascii="Arial" w:hAnsi="Arial" w:cs="Arial"/>
                <w:color w:val="002060"/>
                <w:sz w:val="20"/>
                <w:szCs w:val="20"/>
              </w:rPr>
              <w:t>30</w:t>
            </w:r>
          </w:p>
        </w:tc>
      </w:tr>
      <w:tr w:rsidR="005147A1" w:rsidRPr="00EA7972" w:rsidTr="001B7CBB">
        <w:trPr>
          <w:trHeight w:val="567"/>
        </w:trPr>
        <w:tc>
          <w:tcPr>
            <w:tcW w:w="1306"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Gràfic 3.3</w:t>
            </w:r>
          </w:p>
        </w:tc>
        <w:tc>
          <w:tcPr>
            <w:tcW w:w="6344"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Anàlisi vertical de l’estructura econòmica i financera sectorial</w:t>
            </w:r>
          </w:p>
        </w:tc>
        <w:tc>
          <w:tcPr>
            <w:tcW w:w="992" w:type="dxa"/>
          </w:tcPr>
          <w:p w:rsidR="005147A1" w:rsidRPr="00EA7972" w:rsidRDefault="005147A1" w:rsidP="001B7CBB">
            <w:pPr>
              <w:jc w:val="both"/>
              <w:rPr>
                <w:rFonts w:ascii="Arial" w:hAnsi="Arial" w:cs="Arial"/>
                <w:color w:val="002060"/>
                <w:sz w:val="20"/>
                <w:szCs w:val="20"/>
              </w:rPr>
            </w:pPr>
            <w:r>
              <w:rPr>
                <w:rFonts w:ascii="Arial" w:hAnsi="Arial" w:cs="Arial"/>
                <w:color w:val="002060"/>
                <w:sz w:val="20"/>
                <w:szCs w:val="20"/>
              </w:rPr>
              <w:t xml:space="preserve">Pàg </w:t>
            </w:r>
            <w:r w:rsidRPr="00EA7972">
              <w:rPr>
                <w:rFonts w:ascii="Arial" w:hAnsi="Arial" w:cs="Arial"/>
                <w:color w:val="002060"/>
                <w:sz w:val="20"/>
                <w:szCs w:val="20"/>
              </w:rPr>
              <w:t>33</w:t>
            </w:r>
          </w:p>
        </w:tc>
      </w:tr>
      <w:tr w:rsidR="005147A1" w:rsidRPr="00EA7972" w:rsidTr="001B7CBB">
        <w:trPr>
          <w:trHeight w:val="567"/>
        </w:trPr>
        <w:tc>
          <w:tcPr>
            <w:tcW w:w="1306"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Gràfic 3.4</w:t>
            </w:r>
          </w:p>
        </w:tc>
        <w:tc>
          <w:tcPr>
            <w:tcW w:w="6344"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Xifres de negoci sectorials (milions de dòlars)</w:t>
            </w:r>
          </w:p>
        </w:tc>
        <w:tc>
          <w:tcPr>
            <w:tcW w:w="992" w:type="dxa"/>
          </w:tcPr>
          <w:p w:rsidR="005147A1" w:rsidRPr="00EA7972" w:rsidRDefault="005147A1" w:rsidP="001B7CBB">
            <w:pPr>
              <w:jc w:val="both"/>
              <w:rPr>
                <w:rFonts w:ascii="Arial" w:hAnsi="Arial" w:cs="Arial"/>
                <w:color w:val="002060"/>
                <w:sz w:val="20"/>
                <w:szCs w:val="20"/>
              </w:rPr>
            </w:pPr>
            <w:r>
              <w:rPr>
                <w:rFonts w:ascii="Arial" w:hAnsi="Arial" w:cs="Arial"/>
                <w:color w:val="002060"/>
                <w:sz w:val="20"/>
                <w:szCs w:val="20"/>
              </w:rPr>
              <w:t xml:space="preserve">Pàg </w:t>
            </w:r>
            <w:r w:rsidRPr="00EA7972">
              <w:rPr>
                <w:rFonts w:ascii="Arial" w:hAnsi="Arial" w:cs="Arial"/>
                <w:color w:val="002060"/>
                <w:sz w:val="20"/>
                <w:szCs w:val="20"/>
              </w:rPr>
              <w:t>34</w:t>
            </w:r>
          </w:p>
        </w:tc>
      </w:tr>
      <w:tr w:rsidR="005147A1" w:rsidRPr="00EA7972" w:rsidTr="001B7CBB">
        <w:trPr>
          <w:trHeight w:val="567"/>
        </w:trPr>
        <w:tc>
          <w:tcPr>
            <w:tcW w:w="1306"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Gràfic 3.5</w:t>
            </w:r>
          </w:p>
        </w:tc>
        <w:tc>
          <w:tcPr>
            <w:tcW w:w="6344"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Percentatges horitzontals de les vendes sectorials respecte l’any anterior</w:t>
            </w:r>
          </w:p>
        </w:tc>
        <w:tc>
          <w:tcPr>
            <w:tcW w:w="992" w:type="dxa"/>
          </w:tcPr>
          <w:p w:rsidR="005147A1" w:rsidRPr="00EA7972" w:rsidRDefault="005147A1" w:rsidP="001B7CBB">
            <w:pPr>
              <w:jc w:val="both"/>
              <w:rPr>
                <w:rFonts w:ascii="Arial" w:hAnsi="Arial" w:cs="Arial"/>
                <w:color w:val="002060"/>
                <w:sz w:val="20"/>
                <w:szCs w:val="20"/>
              </w:rPr>
            </w:pPr>
            <w:r>
              <w:rPr>
                <w:rFonts w:ascii="Arial" w:hAnsi="Arial" w:cs="Arial"/>
                <w:color w:val="002060"/>
                <w:sz w:val="20"/>
                <w:szCs w:val="20"/>
              </w:rPr>
              <w:t xml:space="preserve">Pàg </w:t>
            </w:r>
            <w:r w:rsidRPr="00EA7972">
              <w:rPr>
                <w:rFonts w:ascii="Arial" w:hAnsi="Arial" w:cs="Arial"/>
                <w:color w:val="002060"/>
                <w:sz w:val="20"/>
                <w:szCs w:val="20"/>
              </w:rPr>
              <w:t>34</w:t>
            </w:r>
          </w:p>
        </w:tc>
      </w:tr>
      <w:tr w:rsidR="005147A1" w:rsidRPr="00EA7972" w:rsidTr="001B7CBB">
        <w:trPr>
          <w:trHeight w:val="567"/>
        </w:trPr>
        <w:tc>
          <w:tcPr>
            <w:tcW w:w="1306"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Gràfic 3.6</w:t>
            </w:r>
          </w:p>
        </w:tc>
        <w:tc>
          <w:tcPr>
            <w:tcW w:w="6344" w:type="dxa"/>
          </w:tcPr>
          <w:p w:rsidR="005147A1" w:rsidRPr="00EA7972" w:rsidRDefault="005147A1" w:rsidP="001B7CBB">
            <w:pPr>
              <w:jc w:val="both"/>
              <w:rPr>
                <w:rFonts w:ascii="Arial" w:hAnsi="Arial" w:cs="Arial"/>
                <w:color w:val="002060"/>
                <w:sz w:val="20"/>
                <w:szCs w:val="20"/>
              </w:rPr>
            </w:pPr>
            <w:r w:rsidRPr="00EA7972">
              <w:rPr>
                <w:rFonts w:ascii="Arial" w:hAnsi="Arial" w:cs="Arial"/>
                <w:noProof/>
                <w:color w:val="002060"/>
                <w:sz w:val="20"/>
                <w:szCs w:val="20"/>
              </w:rPr>
              <w:t>Anàlisi horitzontal de les vendes per tot el període (2015-2019)</w:t>
            </w:r>
          </w:p>
        </w:tc>
        <w:tc>
          <w:tcPr>
            <w:tcW w:w="992" w:type="dxa"/>
          </w:tcPr>
          <w:p w:rsidR="005147A1" w:rsidRPr="00EA7972" w:rsidRDefault="005147A1" w:rsidP="001B7CBB">
            <w:pPr>
              <w:jc w:val="both"/>
              <w:rPr>
                <w:rFonts w:ascii="Arial" w:hAnsi="Arial" w:cs="Arial"/>
                <w:color w:val="002060"/>
                <w:sz w:val="20"/>
                <w:szCs w:val="20"/>
              </w:rPr>
            </w:pPr>
            <w:r>
              <w:rPr>
                <w:rFonts w:ascii="Arial" w:hAnsi="Arial" w:cs="Arial"/>
                <w:color w:val="002060"/>
                <w:sz w:val="20"/>
                <w:szCs w:val="20"/>
              </w:rPr>
              <w:t xml:space="preserve">Pàg </w:t>
            </w:r>
            <w:r w:rsidRPr="00EA7972">
              <w:rPr>
                <w:rFonts w:ascii="Arial" w:hAnsi="Arial" w:cs="Arial"/>
                <w:color w:val="002060"/>
                <w:sz w:val="20"/>
                <w:szCs w:val="20"/>
              </w:rPr>
              <w:t>35</w:t>
            </w:r>
          </w:p>
        </w:tc>
      </w:tr>
      <w:tr w:rsidR="005147A1" w:rsidRPr="00EA7972" w:rsidTr="001B7CBB">
        <w:trPr>
          <w:trHeight w:val="567"/>
        </w:trPr>
        <w:tc>
          <w:tcPr>
            <w:tcW w:w="1306"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Gràfic 3.7</w:t>
            </w:r>
          </w:p>
        </w:tc>
        <w:tc>
          <w:tcPr>
            <w:tcW w:w="6344" w:type="dxa"/>
          </w:tcPr>
          <w:p w:rsidR="005147A1" w:rsidRPr="00EA7972" w:rsidRDefault="005147A1" w:rsidP="001B7CBB">
            <w:pPr>
              <w:jc w:val="both"/>
              <w:rPr>
                <w:rFonts w:ascii="Arial" w:hAnsi="Arial" w:cs="Arial"/>
                <w:color w:val="002060"/>
                <w:sz w:val="20"/>
                <w:szCs w:val="20"/>
              </w:rPr>
            </w:pPr>
            <w:r w:rsidRPr="00EA7972">
              <w:rPr>
                <w:rFonts w:ascii="Arial" w:hAnsi="Arial" w:cs="Arial"/>
                <w:noProof/>
                <w:color w:val="002060"/>
                <w:sz w:val="20"/>
                <w:szCs w:val="20"/>
              </w:rPr>
              <w:t>Resultats d’explotació sectorials (milions de dòlars)</w:t>
            </w:r>
          </w:p>
        </w:tc>
        <w:tc>
          <w:tcPr>
            <w:tcW w:w="992" w:type="dxa"/>
          </w:tcPr>
          <w:p w:rsidR="005147A1" w:rsidRPr="00EA7972" w:rsidRDefault="005147A1" w:rsidP="001B7CBB">
            <w:pPr>
              <w:jc w:val="both"/>
              <w:rPr>
                <w:rFonts w:ascii="Arial" w:hAnsi="Arial" w:cs="Arial"/>
                <w:color w:val="002060"/>
                <w:sz w:val="20"/>
                <w:szCs w:val="20"/>
              </w:rPr>
            </w:pPr>
            <w:r>
              <w:rPr>
                <w:rFonts w:ascii="Arial" w:hAnsi="Arial" w:cs="Arial"/>
                <w:color w:val="002060"/>
                <w:sz w:val="20"/>
                <w:szCs w:val="20"/>
              </w:rPr>
              <w:t xml:space="preserve">Pàg </w:t>
            </w:r>
            <w:r w:rsidRPr="00EA7972">
              <w:rPr>
                <w:rFonts w:ascii="Arial" w:hAnsi="Arial" w:cs="Arial"/>
                <w:color w:val="002060"/>
                <w:sz w:val="20"/>
                <w:szCs w:val="20"/>
              </w:rPr>
              <w:t>36</w:t>
            </w:r>
          </w:p>
        </w:tc>
      </w:tr>
      <w:tr w:rsidR="005147A1" w:rsidRPr="00EA7972" w:rsidTr="001B7CBB">
        <w:trPr>
          <w:trHeight w:val="567"/>
        </w:trPr>
        <w:tc>
          <w:tcPr>
            <w:tcW w:w="1306"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Gràfic 3.8</w:t>
            </w:r>
          </w:p>
        </w:tc>
        <w:tc>
          <w:tcPr>
            <w:tcW w:w="6344"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Percentatges horitzontals dels resultats d’explotació sectorials</w:t>
            </w:r>
          </w:p>
        </w:tc>
        <w:tc>
          <w:tcPr>
            <w:tcW w:w="992" w:type="dxa"/>
          </w:tcPr>
          <w:p w:rsidR="005147A1" w:rsidRPr="00EA7972" w:rsidRDefault="005147A1" w:rsidP="001B7CBB">
            <w:pPr>
              <w:jc w:val="both"/>
              <w:rPr>
                <w:rFonts w:ascii="Arial" w:hAnsi="Arial" w:cs="Arial"/>
                <w:color w:val="002060"/>
                <w:sz w:val="20"/>
                <w:szCs w:val="20"/>
              </w:rPr>
            </w:pPr>
            <w:r>
              <w:rPr>
                <w:rFonts w:ascii="Arial" w:hAnsi="Arial" w:cs="Arial"/>
                <w:color w:val="002060"/>
                <w:sz w:val="20"/>
                <w:szCs w:val="20"/>
              </w:rPr>
              <w:t xml:space="preserve">Pàg </w:t>
            </w:r>
            <w:r w:rsidRPr="00EA7972">
              <w:rPr>
                <w:rFonts w:ascii="Arial" w:hAnsi="Arial" w:cs="Arial"/>
                <w:color w:val="002060"/>
                <w:sz w:val="20"/>
                <w:szCs w:val="20"/>
              </w:rPr>
              <w:t>36</w:t>
            </w:r>
          </w:p>
        </w:tc>
      </w:tr>
      <w:tr w:rsidR="005147A1" w:rsidRPr="00EA7972" w:rsidTr="001B7CBB">
        <w:trPr>
          <w:trHeight w:val="567"/>
        </w:trPr>
        <w:tc>
          <w:tcPr>
            <w:tcW w:w="1306"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Gràfic 3.9</w:t>
            </w:r>
          </w:p>
        </w:tc>
        <w:tc>
          <w:tcPr>
            <w:tcW w:w="6344"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Ràtio de liquiditat sectorial pels exercicis 2015-2019</w:t>
            </w:r>
          </w:p>
        </w:tc>
        <w:tc>
          <w:tcPr>
            <w:tcW w:w="992" w:type="dxa"/>
          </w:tcPr>
          <w:p w:rsidR="005147A1" w:rsidRPr="00EA7972" w:rsidRDefault="005147A1" w:rsidP="001B7CBB">
            <w:pPr>
              <w:jc w:val="both"/>
              <w:rPr>
                <w:rFonts w:ascii="Arial" w:hAnsi="Arial" w:cs="Arial"/>
                <w:color w:val="002060"/>
                <w:sz w:val="20"/>
                <w:szCs w:val="20"/>
              </w:rPr>
            </w:pPr>
            <w:r>
              <w:rPr>
                <w:rFonts w:ascii="Arial" w:hAnsi="Arial" w:cs="Arial"/>
                <w:color w:val="002060"/>
                <w:sz w:val="20"/>
                <w:szCs w:val="20"/>
              </w:rPr>
              <w:t xml:space="preserve">Pàg </w:t>
            </w:r>
            <w:r w:rsidRPr="00EA7972">
              <w:rPr>
                <w:rFonts w:ascii="Arial" w:hAnsi="Arial" w:cs="Arial"/>
                <w:color w:val="002060"/>
                <w:sz w:val="20"/>
                <w:szCs w:val="20"/>
              </w:rPr>
              <w:t>37</w:t>
            </w:r>
          </w:p>
        </w:tc>
      </w:tr>
      <w:tr w:rsidR="005147A1" w:rsidRPr="00EA7972" w:rsidTr="001B7CBB">
        <w:trPr>
          <w:trHeight w:val="567"/>
        </w:trPr>
        <w:tc>
          <w:tcPr>
            <w:tcW w:w="1306"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Gràfic 3.10</w:t>
            </w:r>
          </w:p>
        </w:tc>
        <w:tc>
          <w:tcPr>
            <w:tcW w:w="6344"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Ràtio d’endeutament sectorial pels anys 2015 al 2019</w:t>
            </w:r>
          </w:p>
        </w:tc>
        <w:tc>
          <w:tcPr>
            <w:tcW w:w="992" w:type="dxa"/>
          </w:tcPr>
          <w:p w:rsidR="005147A1" w:rsidRPr="00EA7972" w:rsidRDefault="005147A1" w:rsidP="001B7CBB">
            <w:pPr>
              <w:jc w:val="both"/>
              <w:rPr>
                <w:rFonts w:ascii="Arial" w:hAnsi="Arial" w:cs="Arial"/>
                <w:color w:val="002060"/>
                <w:sz w:val="20"/>
                <w:szCs w:val="20"/>
              </w:rPr>
            </w:pPr>
            <w:r>
              <w:rPr>
                <w:rFonts w:ascii="Arial" w:hAnsi="Arial" w:cs="Arial"/>
                <w:color w:val="002060"/>
                <w:sz w:val="20"/>
                <w:szCs w:val="20"/>
              </w:rPr>
              <w:t xml:space="preserve">Pàg </w:t>
            </w:r>
            <w:r w:rsidRPr="00EA7972">
              <w:rPr>
                <w:rFonts w:ascii="Arial" w:hAnsi="Arial" w:cs="Arial"/>
                <w:color w:val="002060"/>
                <w:sz w:val="20"/>
                <w:szCs w:val="20"/>
              </w:rPr>
              <w:t>38</w:t>
            </w:r>
          </w:p>
        </w:tc>
      </w:tr>
      <w:tr w:rsidR="005147A1" w:rsidRPr="00EA7972" w:rsidTr="001B7CBB">
        <w:trPr>
          <w:trHeight w:val="567"/>
        </w:trPr>
        <w:tc>
          <w:tcPr>
            <w:tcW w:w="1306"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Gràfic 3.11</w:t>
            </w:r>
          </w:p>
        </w:tc>
        <w:tc>
          <w:tcPr>
            <w:tcW w:w="6344"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Ràtio fons de maniobra sectorial pels exercicis 2015-2019</w:t>
            </w:r>
          </w:p>
        </w:tc>
        <w:tc>
          <w:tcPr>
            <w:tcW w:w="992" w:type="dxa"/>
          </w:tcPr>
          <w:p w:rsidR="005147A1" w:rsidRPr="00EA7972" w:rsidRDefault="005147A1" w:rsidP="001B7CBB">
            <w:pPr>
              <w:jc w:val="both"/>
              <w:rPr>
                <w:rFonts w:ascii="Arial" w:hAnsi="Arial" w:cs="Arial"/>
                <w:color w:val="002060"/>
                <w:sz w:val="20"/>
                <w:szCs w:val="20"/>
              </w:rPr>
            </w:pPr>
            <w:r>
              <w:rPr>
                <w:rFonts w:ascii="Arial" w:hAnsi="Arial" w:cs="Arial"/>
                <w:color w:val="002060"/>
                <w:sz w:val="20"/>
                <w:szCs w:val="20"/>
              </w:rPr>
              <w:t xml:space="preserve">Pàg </w:t>
            </w:r>
            <w:r w:rsidRPr="00EA7972">
              <w:rPr>
                <w:rFonts w:ascii="Arial" w:hAnsi="Arial" w:cs="Arial"/>
                <w:color w:val="002060"/>
                <w:sz w:val="20"/>
                <w:szCs w:val="20"/>
              </w:rPr>
              <w:t>38</w:t>
            </w:r>
          </w:p>
        </w:tc>
      </w:tr>
      <w:tr w:rsidR="005147A1" w:rsidRPr="00EA7972" w:rsidTr="001B7CBB">
        <w:trPr>
          <w:trHeight w:val="567"/>
        </w:trPr>
        <w:tc>
          <w:tcPr>
            <w:tcW w:w="1306"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Gràfic 3.12</w:t>
            </w:r>
          </w:p>
        </w:tc>
        <w:tc>
          <w:tcPr>
            <w:tcW w:w="6344"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Patrimoni net sectorial (en milions de dòlars)</w:t>
            </w:r>
          </w:p>
        </w:tc>
        <w:tc>
          <w:tcPr>
            <w:tcW w:w="992" w:type="dxa"/>
          </w:tcPr>
          <w:p w:rsidR="005147A1" w:rsidRPr="00EA7972" w:rsidRDefault="005147A1" w:rsidP="001B7CBB">
            <w:pPr>
              <w:jc w:val="both"/>
              <w:rPr>
                <w:rFonts w:ascii="Arial" w:hAnsi="Arial" w:cs="Arial"/>
                <w:color w:val="002060"/>
                <w:sz w:val="20"/>
                <w:szCs w:val="20"/>
              </w:rPr>
            </w:pPr>
            <w:r>
              <w:rPr>
                <w:rFonts w:ascii="Arial" w:hAnsi="Arial" w:cs="Arial"/>
                <w:color w:val="002060"/>
                <w:sz w:val="20"/>
                <w:szCs w:val="20"/>
              </w:rPr>
              <w:t xml:space="preserve">Pàg </w:t>
            </w:r>
            <w:r w:rsidRPr="00EA7972">
              <w:rPr>
                <w:rFonts w:ascii="Arial" w:hAnsi="Arial" w:cs="Arial"/>
                <w:color w:val="002060"/>
                <w:sz w:val="20"/>
                <w:szCs w:val="20"/>
              </w:rPr>
              <w:t>39</w:t>
            </w:r>
          </w:p>
        </w:tc>
      </w:tr>
      <w:tr w:rsidR="005147A1" w:rsidRPr="00EA7972" w:rsidTr="001B7CBB">
        <w:trPr>
          <w:trHeight w:val="567"/>
        </w:trPr>
        <w:tc>
          <w:tcPr>
            <w:tcW w:w="1306"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Gràfic 3.13</w:t>
            </w:r>
          </w:p>
        </w:tc>
        <w:tc>
          <w:tcPr>
            <w:tcW w:w="6344"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Rendibilitat econòmica sectorial dels exercicis 2015-2019</w:t>
            </w:r>
          </w:p>
        </w:tc>
        <w:tc>
          <w:tcPr>
            <w:tcW w:w="992" w:type="dxa"/>
          </w:tcPr>
          <w:p w:rsidR="005147A1" w:rsidRPr="00EA7972" w:rsidRDefault="005147A1" w:rsidP="001B7CBB">
            <w:pPr>
              <w:jc w:val="both"/>
              <w:rPr>
                <w:rFonts w:ascii="Arial" w:hAnsi="Arial" w:cs="Arial"/>
                <w:color w:val="002060"/>
                <w:sz w:val="20"/>
                <w:szCs w:val="20"/>
              </w:rPr>
            </w:pPr>
            <w:r>
              <w:rPr>
                <w:rFonts w:ascii="Arial" w:hAnsi="Arial" w:cs="Arial"/>
                <w:color w:val="002060"/>
                <w:sz w:val="20"/>
                <w:szCs w:val="20"/>
              </w:rPr>
              <w:t xml:space="preserve">Pàg </w:t>
            </w:r>
            <w:r w:rsidRPr="00EA7972">
              <w:rPr>
                <w:rFonts w:ascii="Arial" w:hAnsi="Arial" w:cs="Arial"/>
                <w:color w:val="002060"/>
                <w:sz w:val="20"/>
                <w:szCs w:val="20"/>
              </w:rPr>
              <w:t>39</w:t>
            </w:r>
          </w:p>
        </w:tc>
      </w:tr>
      <w:tr w:rsidR="005147A1" w:rsidRPr="00EA7972" w:rsidTr="001B7CBB">
        <w:trPr>
          <w:trHeight w:val="567"/>
        </w:trPr>
        <w:tc>
          <w:tcPr>
            <w:tcW w:w="1306"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Gràfic 3.14</w:t>
            </w:r>
          </w:p>
        </w:tc>
        <w:tc>
          <w:tcPr>
            <w:tcW w:w="6344" w:type="dxa"/>
          </w:tcPr>
          <w:p w:rsidR="005147A1" w:rsidRPr="00EA7972" w:rsidRDefault="005147A1" w:rsidP="001B7CBB">
            <w:pPr>
              <w:jc w:val="both"/>
              <w:rPr>
                <w:rFonts w:ascii="Arial" w:hAnsi="Arial" w:cs="Arial"/>
                <w:color w:val="002060"/>
                <w:sz w:val="20"/>
                <w:szCs w:val="20"/>
              </w:rPr>
            </w:pPr>
            <w:r w:rsidRPr="00EA7972">
              <w:rPr>
                <w:rFonts w:ascii="Arial" w:hAnsi="Arial" w:cs="Arial"/>
                <w:noProof/>
                <w:color w:val="002060"/>
                <w:sz w:val="20"/>
                <w:szCs w:val="20"/>
              </w:rPr>
              <w:t>Marge sobre vendes del sector</w:t>
            </w:r>
          </w:p>
        </w:tc>
        <w:tc>
          <w:tcPr>
            <w:tcW w:w="992" w:type="dxa"/>
          </w:tcPr>
          <w:p w:rsidR="005147A1" w:rsidRPr="00EA7972" w:rsidRDefault="005147A1" w:rsidP="001B7CBB">
            <w:pPr>
              <w:jc w:val="both"/>
              <w:rPr>
                <w:rFonts w:ascii="Arial" w:hAnsi="Arial" w:cs="Arial"/>
                <w:color w:val="002060"/>
                <w:sz w:val="20"/>
                <w:szCs w:val="20"/>
              </w:rPr>
            </w:pPr>
            <w:r>
              <w:rPr>
                <w:rFonts w:ascii="Arial" w:hAnsi="Arial" w:cs="Arial"/>
                <w:color w:val="002060"/>
                <w:sz w:val="20"/>
                <w:szCs w:val="20"/>
              </w:rPr>
              <w:t xml:space="preserve">Pàg </w:t>
            </w:r>
            <w:r w:rsidRPr="00EA7972">
              <w:rPr>
                <w:rFonts w:ascii="Arial" w:hAnsi="Arial" w:cs="Arial"/>
                <w:color w:val="002060"/>
                <w:sz w:val="20"/>
                <w:szCs w:val="20"/>
              </w:rPr>
              <w:t>40</w:t>
            </w:r>
          </w:p>
        </w:tc>
      </w:tr>
      <w:tr w:rsidR="005147A1" w:rsidRPr="00EA7972" w:rsidTr="001B7CBB">
        <w:trPr>
          <w:trHeight w:val="567"/>
        </w:trPr>
        <w:tc>
          <w:tcPr>
            <w:tcW w:w="1306"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Gràfic 3.15</w:t>
            </w:r>
          </w:p>
        </w:tc>
        <w:tc>
          <w:tcPr>
            <w:tcW w:w="6344" w:type="dxa"/>
          </w:tcPr>
          <w:p w:rsidR="005147A1" w:rsidRPr="00EA7972" w:rsidRDefault="005147A1" w:rsidP="001B7CBB">
            <w:pPr>
              <w:jc w:val="both"/>
              <w:rPr>
                <w:rFonts w:ascii="Arial" w:hAnsi="Arial" w:cs="Arial"/>
                <w:color w:val="002060"/>
                <w:sz w:val="20"/>
                <w:szCs w:val="20"/>
              </w:rPr>
            </w:pPr>
            <w:r w:rsidRPr="00EA7972">
              <w:rPr>
                <w:rFonts w:ascii="Arial" w:hAnsi="Arial" w:cs="Arial"/>
                <w:noProof/>
                <w:color w:val="002060"/>
                <w:sz w:val="20"/>
                <w:szCs w:val="20"/>
              </w:rPr>
              <w:t>Rotació de l’actiu del sector</w:t>
            </w:r>
          </w:p>
        </w:tc>
        <w:tc>
          <w:tcPr>
            <w:tcW w:w="992" w:type="dxa"/>
          </w:tcPr>
          <w:p w:rsidR="005147A1" w:rsidRPr="00EA7972" w:rsidRDefault="005147A1" w:rsidP="001B7CBB">
            <w:pPr>
              <w:jc w:val="both"/>
              <w:rPr>
                <w:rFonts w:ascii="Arial" w:hAnsi="Arial" w:cs="Arial"/>
                <w:color w:val="002060"/>
                <w:sz w:val="20"/>
                <w:szCs w:val="20"/>
              </w:rPr>
            </w:pPr>
            <w:r>
              <w:rPr>
                <w:rFonts w:ascii="Arial" w:hAnsi="Arial" w:cs="Arial"/>
                <w:color w:val="002060"/>
                <w:sz w:val="20"/>
                <w:szCs w:val="20"/>
              </w:rPr>
              <w:t xml:space="preserve">Pàg </w:t>
            </w:r>
            <w:r w:rsidRPr="00EA7972">
              <w:rPr>
                <w:rFonts w:ascii="Arial" w:hAnsi="Arial" w:cs="Arial"/>
                <w:color w:val="002060"/>
                <w:sz w:val="20"/>
                <w:szCs w:val="20"/>
              </w:rPr>
              <w:t>40</w:t>
            </w:r>
          </w:p>
        </w:tc>
      </w:tr>
      <w:tr w:rsidR="005147A1" w:rsidRPr="00EA7972" w:rsidTr="001B7CBB">
        <w:trPr>
          <w:trHeight w:val="567"/>
        </w:trPr>
        <w:tc>
          <w:tcPr>
            <w:tcW w:w="1306"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Gràfic 3.16</w:t>
            </w:r>
          </w:p>
        </w:tc>
        <w:tc>
          <w:tcPr>
            <w:tcW w:w="6344" w:type="dxa"/>
          </w:tcPr>
          <w:p w:rsidR="005147A1" w:rsidRPr="00EA7972" w:rsidRDefault="005147A1" w:rsidP="001B7CBB">
            <w:pPr>
              <w:jc w:val="both"/>
              <w:rPr>
                <w:rFonts w:ascii="Arial" w:hAnsi="Arial" w:cs="Arial"/>
                <w:color w:val="002060"/>
                <w:sz w:val="20"/>
                <w:szCs w:val="20"/>
              </w:rPr>
            </w:pPr>
            <w:r w:rsidRPr="00EA7972">
              <w:rPr>
                <w:rFonts w:ascii="Arial" w:hAnsi="Arial" w:cs="Arial"/>
                <w:noProof/>
                <w:color w:val="002060"/>
                <w:sz w:val="20"/>
                <w:szCs w:val="20"/>
              </w:rPr>
              <w:t>Rendibilitat financera del sector dels exercicis 2015-2019</w:t>
            </w:r>
          </w:p>
        </w:tc>
        <w:tc>
          <w:tcPr>
            <w:tcW w:w="992" w:type="dxa"/>
          </w:tcPr>
          <w:p w:rsidR="005147A1" w:rsidRPr="00EA7972" w:rsidRDefault="005147A1" w:rsidP="001B7CBB">
            <w:pPr>
              <w:jc w:val="both"/>
              <w:rPr>
                <w:rFonts w:ascii="Arial" w:hAnsi="Arial" w:cs="Arial"/>
                <w:color w:val="002060"/>
                <w:sz w:val="20"/>
                <w:szCs w:val="20"/>
              </w:rPr>
            </w:pPr>
            <w:r>
              <w:rPr>
                <w:rFonts w:ascii="Arial" w:hAnsi="Arial" w:cs="Arial"/>
                <w:color w:val="002060"/>
                <w:sz w:val="20"/>
                <w:szCs w:val="20"/>
              </w:rPr>
              <w:t xml:space="preserve">Pàg </w:t>
            </w:r>
            <w:r w:rsidRPr="00EA7972">
              <w:rPr>
                <w:rFonts w:ascii="Arial" w:hAnsi="Arial" w:cs="Arial"/>
                <w:color w:val="002060"/>
                <w:sz w:val="20"/>
                <w:szCs w:val="20"/>
              </w:rPr>
              <w:t>41</w:t>
            </w:r>
          </w:p>
        </w:tc>
      </w:tr>
      <w:tr w:rsidR="005147A1" w:rsidRPr="00EA7972" w:rsidTr="001B7CBB">
        <w:trPr>
          <w:trHeight w:val="567"/>
        </w:trPr>
        <w:tc>
          <w:tcPr>
            <w:tcW w:w="1306"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Gràfic 4.1</w:t>
            </w:r>
          </w:p>
        </w:tc>
        <w:tc>
          <w:tcPr>
            <w:tcW w:w="6344"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Evolució de les vendes de Laboratoris Hipra pels exercicis 2015-2019</w:t>
            </w:r>
          </w:p>
        </w:tc>
        <w:tc>
          <w:tcPr>
            <w:tcW w:w="992" w:type="dxa"/>
          </w:tcPr>
          <w:p w:rsidR="005147A1" w:rsidRPr="00EA7972" w:rsidRDefault="005147A1" w:rsidP="001B7CBB">
            <w:pPr>
              <w:jc w:val="both"/>
              <w:rPr>
                <w:rFonts w:ascii="Arial" w:hAnsi="Arial" w:cs="Arial"/>
                <w:color w:val="002060"/>
                <w:sz w:val="20"/>
                <w:szCs w:val="20"/>
              </w:rPr>
            </w:pPr>
            <w:r>
              <w:rPr>
                <w:rFonts w:ascii="Arial" w:hAnsi="Arial" w:cs="Arial"/>
                <w:color w:val="002060"/>
                <w:sz w:val="20"/>
                <w:szCs w:val="20"/>
              </w:rPr>
              <w:t xml:space="preserve">Pàg </w:t>
            </w:r>
            <w:r w:rsidRPr="00EA7972">
              <w:rPr>
                <w:rFonts w:ascii="Arial" w:hAnsi="Arial" w:cs="Arial"/>
                <w:color w:val="002060"/>
                <w:sz w:val="20"/>
                <w:szCs w:val="20"/>
              </w:rPr>
              <w:t>43</w:t>
            </w:r>
          </w:p>
        </w:tc>
      </w:tr>
      <w:tr w:rsidR="005147A1" w:rsidRPr="00EA7972" w:rsidTr="001B7CBB">
        <w:trPr>
          <w:trHeight w:val="567"/>
        </w:trPr>
        <w:tc>
          <w:tcPr>
            <w:tcW w:w="1306" w:type="dxa"/>
          </w:tcPr>
          <w:p w:rsidR="005147A1" w:rsidRPr="00EA7972" w:rsidRDefault="005147A1" w:rsidP="001B7CBB">
            <w:pPr>
              <w:jc w:val="both"/>
              <w:rPr>
                <w:rFonts w:ascii="Arial" w:hAnsi="Arial" w:cs="Arial"/>
                <w:color w:val="002060"/>
                <w:sz w:val="20"/>
                <w:szCs w:val="20"/>
              </w:rPr>
            </w:pPr>
            <w:r w:rsidRPr="00EA7972">
              <w:rPr>
                <w:rFonts w:ascii="Arial" w:hAnsi="Arial" w:cs="Arial"/>
                <w:color w:val="002060"/>
                <w:sz w:val="20"/>
                <w:szCs w:val="20"/>
              </w:rPr>
              <w:t>Gràfic 4.2</w:t>
            </w:r>
          </w:p>
        </w:tc>
        <w:tc>
          <w:tcPr>
            <w:tcW w:w="6344" w:type="dxa"/>
          </w:tcPr>
          <w:p w:rsidR="005147A1" w:rsidRPr="00EA7972" w:rsidRDefault="005147A1" w:rsidP="001B7CBB">
            <w:pPr>
              <w:jc w:val="both"/>
              <w:rPr>
                <w:rFonts w:ascii="Arial" w:hAnsi="Arial" w:cs="Arial"/>
                <w:color w:val="002060"/>
                <w:sz w:val="20"/>
                <w:szCs w:val="20"/>
              </w:rPr>
            </w:pPr>
            <w:r w:rsidRPr="00EA7972">
              <w:rPr>
                <w:rFonts w:ascii="Arial" w:hAnsi="Arial" w:cs="Arial"/>
                <w:noProof/>
                <w:color w:val="002060"/>
                <w:sz w:val="20"/>
                <w:szCs w:val="20"/>
              </w:rPr>
              <w:t>Factors clau en l’èxit de Hipra</w:t>
            </w:r>
          </w:p>
        </w:tc>
        <w:tc>
          <w:tcPr>
            <w:tcW w:w="992" w:type="dxa"/>
          </w:tcPr>
          <w:p w:rsidR="005147A1" w:rsidRPr="00EA7972" w:rsidRDefault="005147A1" w:rsidP="001B7CBB">
            <w:pPr>
              <w:jc w:val="both"/>
              <w:rPr>
                <w:rFonts w:ascii="Arial" w:hAnsi="Arial" w:cs="Arial"/>
                <w:color w:val="002060"/>
                <w:sz w:val="20"/>
                <w:szCs w:val="20"/>
              </w:rPr>
            </w:pPr>
            <w:r>
              <w:rPr>
                <w:rFonts w:ascii="Arial" w:hAnsi="Arial" w:cs="Arial"/>
                <w:color w:val="002060"/>
                <w:sz w:val="20"/>
                <w:szCs w:val="20"/>
              </w:rPr>
              <w:t xml:space="preserve">Pàg </w:t>
            </w:r>
            <w:r w:rsidRPr="00EA7972">
              <w:rPr>
                <w:rFonts w:ascii="Arial" w:hAnsi="Arial" w:cs="Arial"/>
                <w:color w:val="002060"/>
                <w:sz w:val="20"/>
                <w:szCs w:val="20"/>
              </w:rPr>
              <w:t>46</w:t>
            </w:r>
          </w:p>
        </w:tc>
      </w:tr>
    </w:tbl>
    <w:p w:rsidR="00F42B32" w:rsidRPr="00AB05E3" w:rsidRDefault="00F42B32" w:rsidP="005147A1">
      <w:pPr>
        <w:jc w:val="both"/>
        <w:rPr>
          <w:rFonts w:ascii="Arial" w:hAnsi="Arial" w:cs="Arial"/>
          <w:b/>
          <w:color w:val="000361"/>
          <w:sz w:val="20"/>
          <w:szCs w:val="20"/>
        </w:rPr>
      </w:pPr>
    </w:p>
    <w:sectPr w:rsidR="00F42B32" w:rsidRPr="00AB05E3" w:rsidSect="00CE05E4">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E23" w:rsidRDefault="00BD0E23" w:rsidP="00F447F1">
      <w:r>
        <w:separator/>
      </w:r>
    </w:p>
  </w:endnote>
  <w:endnote w:type="continuationSeparator" w:id="0">
    <w:p w:rsidR="00BD0E23" w:rsidRDefault="00BD0E23" w:rsidP="00F4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06656100"/>
      <w:docPartObj>
        <w:docPartGallery w:val="Page Numbers (Bottom of Page)"/>
        <w:docPartUnique/>
      </w:docPartObj>
    </w:sdtPr>
    <w:sdtContent>
      <w:p w:rsidR="000F5648" w:rsidRDefault="000F5648" w:rsidP="002D48FA">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0F5648" w:rsidRDefault="000F56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648" w:rsidRDefault="000F5648">
    <w:pPr>
      <w:pStyle w:val="Piedepgina"/>
    </w:pPr>
    <w:r>
      <w:rPr>
        <w:noProof/>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55530</wp:posOffset>
              </wp:positionV>
              <wp:extent cx="5924611" cy="18604"/>
              <wp:effectExtent l="0" t="0" r="6350" b="0"/>
              <wp:wrapSquare wrapText="bothSides"/>
              <wp:docPr id="38" name="Rectángulo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84B318" id="Rectángulo 38" o:spid="_x0000_s1026" style="position:absolute;margin-left:1.45pt;margin-top:4.35pt;width:466.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" fillcolor="black [3213]" stroked="f" strokeweight="1pt">
              <w10:wrap type="square"/>
            </v:rect>
          </w:pict>
        </mc:Fallback>
      </mc:AlternateContent>
    </w:r>
  </w:p>
  <w:sdt>
    <w:sdtPr>
      <w:rPr>
        <w:rStyle w:val="Nmerodepgina"/>
      </w:rPr>
      <w:id w:val="87205695"/>
      <w:docPartObj>
        <w:docPartGallery w:val="Page Numbers (Bottom of Page)"/>
        <w:docPartUnique/>
      </w:docPartObj>
    </w:sdtPr>
    <w:sdtContent>
      <w:p w:rsidR="000F5648" w:rsidRDefault="000F5648" w:rsidP="00560529">
        <w:pPr>
          <w:pStyle w:val="Piedepgina"/>
          <w:framePr w:wrap="none" w:vAnchor="text" w:hAnchor="page" w:x="5828" w:y="111"/>
          <w:rPr>
            <w:rStyle w:val="Nmerodepgina"/>
          </w:rPr>
        </w:pPr>
        <w:r w:rsidRPr="00560529">
          <w:rPr>
            <w:rStyle w:val="Nmerodepgina"/>
            <w:color w:val="002060"/>
            <w:sz w:val="20"/>
            <w:szCs w:val="20"/>
          </w:rPr>
          <w:fldChar w:fldCharType="begin"/>
        </w:r>
        <w:r w:rsidRPr="00560529">
          <w:rPr>
            <w:rStyle w:val="Nmerodepgina"/>
            <w:color w:val="002060"/>
            <w:sz w:val="20"/>
            <w:szCs w:val="20"/>
          </w:rPr>
          <w:instrText xml:space="preserve"> PAGE </w:instrText>
        </w:r>
        <w:r w:rsidRPr="00560529">
          <w:rPr>
            <w:rStyle w:val="Nmerodepgina"/>
            <w:color w:val="002060"/>
            <w:sz w:val="20"/>
            <w:szCs w:val="20"/>
          </w:rPr>
          <w:fldChar w:fldCharType="separate"/>
        </w:r>
        <w:r w:rsidRPr="00560529">
          <w:rPr>
            <w:rStyle w:val="Nmerodepgina"/>
            <w:noProof/>
            <w:color w:val="002060"/>
            <w:sz w:val="20"/>
            <w:szCs w:val="20"/>
          </w:rPr>
          <w:t>1</w:t>
        </w:r>
        <w:r w:rsidRPr="00560529">
          <w:rPr>
            <w:rStyle w:val="Nmerodepgina"/>
            <w:color w:val="002060"/>
            <w:sz w:val="20"/>
            <w:szCs w:val="20"/>
          </w:rPr>
          <w:fldChar w:fldCharType="end"/>
        </w:r>
      </w:p>
    </w:sdtContent>
  </w:sd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0F5648" w:rsidTr="00240440">
      <w:tc>
        <w:tcPr>
          <w:tcW w:w="3003" w:type="dxa"/>
        </w:tcPr>
        <w:p w:rsidR="000F5648" w:rsidRPr="00560529" w:rsidRDefault="000F5648">
          <w:pPr>
            <w:pStyle w:val="Piedepgina"/>
            <w:rPr>
              <w:rFonts w:ascii="Arial" w:hAnsi="Arial"/>
              <w:color w:val="002060"/>
              <w:sz w:val="16"/>
              <w:szCs w:val="16"/>
            </w:rPr>
          </w:pPr>
          <w:r w:rsidRPr="00560529">
            <w:rPr>
              <w:rFonts w:ascii="Arial" w:hAnsi="Arial"/>
              <w:color w:val="002060"/>
              <w:sz w:val="16"/>
              <w:szCs w:val="16"/>
            </w:rPr>
            <w:t>Estudis d’Economia i Empresa</w:t>
          </w:r>
        </w:p>
      </w:tc>
      <w:tc>
        <w:tcPr>
          <w:tcW w:w="3003" w:type="dxa"/>
        </w:tcPr>
        <w:p w:rsidR="000F5648" w:rsidRPr="00560529" w:rsidRDefault="000F5648" w:rsidP="00560529">
          <w:pPr>
            <w:pStyle w:val="Piedepgina"/>
            <w:jc w:val="center"/>
            <w:rPr>
              <w:rFonts w:ascii="Arial" w:hAnsi="Arial"/>
              <w:color w:val="002060"/>
              <w:sz w:val="16"/>
              <w:szCs w:val="16"/>
            </w:rPr>
          </w:pPr>
        </w:p>
      </w:tc>
      <w:tc>
        <w:tcPr>
          <w:tcW w:w="3004" w:type="dxa"/>
        </w:tcPr>
        <w:p w:rsidR="000F5648" w:rsidRDefault="000F5648" w:rsidP="00560529">
          <w:pPr>
            <w:pStyle w:val="Piedepgina"/>
            <w:jc w:val="right"/>
          </w:pPr>
          <w:r w:rsidRPr="00766B1D">
            <w:rPr>
              <w:noProof/>
            </w:rPr>
            <w:drawing>
              <wp:inline distT="0" distB="0" distL="0" distR="0" wp14:anchorId="291AFA4E" wp14:editId="4C0C551C">
                <wp:extent cx="876300" cy="228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76300" cy="228600"/>
                        </a:xfrm>
                        <a:prstGeom prst="rect">
                          <a:avLst/>
                        </a:prstGeom>
                      </pic:spPr>
                    </pic:pic>
                  </a:graphicData>
                </a:graphic>
              </wp:inline>
            </w:drawing>
          </w:r>
        </w:p>
      </w:tc>
    </w:tr>
  </w:tbl>
  <w:p w:rsidR="000F5648" w:rsidRDefault="000F56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E23" w:rsidRDefault="00BD0E23" w:rsidP="00F447F1">
      <w:r>
        <w:separator/>
      </w:r>
    </w:p>
  </w:footnote>
  <w:footnote w:type="continuationSeparator" w:id="0">
    <w:p w:rsidR="00BD0E23" w:rsidRDefault="00BD0E23" w:rsidP="00F447F1">
      <w:r>
        <w:continuationSeparator/>
      </w:r>
    </w:p>
  </w:footnote>
  <w:footnote w:id="1">
    <w:p w:rsidR="000F5648" w:rsidRPr="00CF70AD" w:rsidRDefault="000F5648">
      <w:pPr>
        <w:pStyle w:val="Textonotapie"/>
      </w:pPr>
      <w:r>
        <w:rPr>
          <w:rStyle w:val="Refdenotaalpie"/>
        </w:rPr>
        <w:footnoteRef/>
      </w:r>
      <w:r>
        <w:t xml:space="preserve"> </w:t>
      </w:r>
      <w:r w:rsidRPr="00CF70AD">
        <w:rPr>
          <w:sz w:val="16"/>
          <w:szCs w:val="16"/>
        </w:rPr>
        <w:t xml:space="preserve">Aquest </w:t>
      </w:r>
      <w:r>
        <w:rPr>
          <w:sz w:val="16"/>
          <w:szCs w:val="16"/>
        </w:rPr>
        <w:t>rànquing es</w:t>
      </w:r>
      <w:r w:rsidRPr="00CF70AD">
        <w:rPr>
          <w:sz w:val="16"/>
          <w:szCs w:val="16"/>
        </w:rPr>
        <w:t xml:space="preserve"> pot consultar a través de l’enllaç disponible dins les referències bibliogràfiques</w:t>
      </w:r>
    </w:p>
  </w:footnote>
  <w:footnote w:id="2">
    <w:p w:rsidR="000F5648" w:rsidRPr="005736B4" w:rsidRDefault="000F5648">
      <w:pPr>
        <w:pStyle w:val="Textonotapie"/>
        <w:rPr>
          <w:rFonts w:ascii="Arial" w:hAnsi="Arial" w:cs="Arial"/>
          <w:sz w:val="14"/>
          <w:szCs w:val="14"/>
          <w:lang w:val="es-ES"/>
        </w:rPr>
      </w:pPr>
      <w:r w:rsidRPr="005736B4">
        <w:rPr>
          <w:rStyle w:val="Refdenotaalpie"/>
          <w:rFonts w:ascii="Arial" w:hAnsi="Arial" w:cs="Arial"/>
          <w:color w:val="002060"/>
          <w:sz w:val="14"/>
          <w:szCs w:val="14"/>
        </w:rPr>
        <w:footnoteRef/>
      </w:r>
      <w:r w:rsidRPr="005736B4">
        <w:rPr>
          <w:rFonts w:ascii="Arial" w:hAnsi="Arial" w:cs="Arial"/>
          <w:color w:val="002060"/>
          <w:sz w:val="14"/>
          <w:szCs w:val="14"/>
        </w:rPr>
        <w:t xml:space="preserve"> </w:t>
      </w:r>
      <w:r w:rsidRPr="005736B4">
        <w:rPr>
          <w:rFonts w:ascii="Arial" w:hAnsi="Arial" w:cs="Arial"/>
          <w:color w:val="002060"/>
          <w:sz w:val="14"/>
          <w:szCs w:val="14"/>
          <w:lang w:val="es-ES"/>
        </w:rPr>
        <w:t xml:space="preserve">La llista es pot consultar a l’annex 2.1 i s’ha extret de: </w:t>
      </w:r>
      <w:hyperlink r:id="rId1" w:history="1">
        <w:r w:rsidRPr="005736B4">
          <w:rPr>
            <w:rStyle w:val="Hipervnculo"/>
            <w:rFonts w:ascii="Arial" w:hAnsi="Arial" w:cs="Arial"/>
            <w:color w:val="002060"/>
            <w:sz w:val="14"/>
            <w:szCs w:val="14"/>
          </w:rPr>
          <w:t>https://avicultura.info/ranking-de-las-20-principales-empresas-de-salud-animal-durante-2019/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30"/>
      <w:gridCol w:w="6600"/>
    </w:tblGrid>
    <w:tr w:rsidR="000F5648" w:rsidTr="000235DF">
      <w:tc>
        <w:tcPr>
          <w:tcW w:w="1980" w:type="dxa"/>
        </w:tcPr>
        <w:p w:rsidR="000F5648" w:rsidRDefault="000F5648">
          <w:pPr>
            <w:pStyle w:val="Encabezado"/>
          </w:pPr>
          <w:r>
            <w:rPr>
              <w:noProof/>
            </w:rPr>
            <w:drawing>
              <wp:inline distT="0" distB="0" distL="0" distR="0">
                <wp:extent cx="1084688" cy="490070"/>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1-02-08 a les 11.51.00.png"/>
                        <pic:cNvPicPr/>
                      </pic:nvPicPr>
                      <pic:blipFill>
                        <a:blip r:embed="rId1">
                          <a:extLst>
                            <a:ext uri="{28A0092B-C50C-407E-A947-70E740481C1C}">
                              <a14:useLocalDpi xmlns:a14="http://schemas.microsoft.com/office/drawing/2010/main" val="0"/>
                            </a:ext>
                          </a:extLst>
                        </a:blip>
                        <a:stretch>
                          <a:fillRect/>
                        </a:stretch>
                      </pic:blipFill>
                      <pic:spPr>
                        <a:xfrm>
                          <a:off x="0" y="0"/>
                          <a:ext cx="1210091" cy="546728"/>
                        </a:xfrm>
                        <a:prstGeom prst="rect">
                          <a:avLst/>
                        </a:prstGeom>
                      </pic:spPr>
                    </pic:pic>
                  </a:graphicData>
                </a:graphic>
              </wp:inline>
            </w:drawing>
          </w:r>
        </w:p>
      </w:tc>
      <w:tc>
        <w:tcPr>
          <w:tcW w:w="430" w:type="dxa"/>
          <w:shd w:val="clear" w:color="auto" w:fill="75EDFF"/>
        </w:tcPr>
        <w:p w:rsidR="000F5648" w:rsidRDefault="000F5648">
          <w:pPr>
            <w:pStyle w:val="Encabezado"/>
          </w:pPr>
        </w:p>
      </w:tc>
      <w:tc>
        <w:tcPr>
          <w:tcW w:w="6600" w:type="dxa"/>
          <w:shd w:val="clear" w:color="auto" w:fill="75EDFF"/>
          <w:vAlign w:val="center"/>
        </w:tcPr>
        <w:p w:rsidR="000F5648" w:rsidRDefault="000F5648" w:rsidP="000235DF">
          <w:pPr>
            <w:pStyle w:val="Encabezado"/>
            <w:jc w:val="center"/>
          </w:pPr>
          <w:r w:rsidRPr="000235DF">
            <w:rPr>
              <w:color w:val="0070C0"/>
            </w:rPr>
            <w:t>Grau en Administració i Direcció d’Empreses</w:t>
          </w:r>
        </w:p>
      </w:tc>
    </w:tr>
  </w:tbl>
  <w:p w:rsidR="000F5648" w:rsidRDefault="000F56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4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6"/>
    </w:tblGrid>
    <w:tr w:rsidR="000F5648" w:rsidTr="008C0D51">
      <w:trPr>
        <w:trHeight w:val="300"/>
      </w:trPr>
      <w:tc>
        <w:tcPr>
          <w:tcW w:w="14066" w:type="dxa"/>
          <w:shd w:val="clear" w:color="auto" w:fill="auto"/>
        </w:tcPr>
        <w:p w:rsidR="000F5648" w:rsidRPr="007702F7" w:rsidRDefault="000F5648" w:rsidP="007702F7">
          <w:pPr>
            <w:pStyle w:val="Encabezado"/>
            <w:rPr>
              <w:color w:val="002060"/>
              <w:sz w:val="22"/>
              <w:szCs w:val="22"/>
            </w:rPr>
          </w:pPr>
          <w:r w:rsidRPr="007702F7">
            <w:rPr>
              <w:color w:val="002060"/>
              <w:sz w:val="22"/>
              <w:szCs w:val="22"/>
            </w:rPr>
            <w:t xml:space="preserve">Laboratoris </w:t>
          </w:r>
          <w:r>
            <w:rPr>
              <w:color w:val="002060"/>
              <w:sz w:val="22"/>
              <w:szCs w:val="22"/>
            </w:rPr>
            <w:t>Hipra</w:t>
          </w:r>
          <w:r w:rsidRPr="007702F7">
            <w:rPr>
              <w:color w:val="002060"/>
              <w:sz w:val="22"/>
              <w:szCs w:val="22"/>
            </w:rPr>
            <w:t xml:space="preserve"> – </w:t>
          </w:r>
          <w:r>
            <w:rPr>
              <w:color w:val="002060"/>
              <w:sz w:val="22"/>
              <w:szCs w:val="22"/>
            </w:rPr>
            <w:t>Quina estratègia ha seguit per esdevenir una empresa rellevant en el seu sector?</w:t>
          </w:r>
        </w:p>
      </w:tc>
    </w:tr>
  </w:tbl>
  <w:p w:rsidR="000F5648" w:rsidRDefault="000F5648">
    <w:pPr>
      <w:pStyle w:val="Encabezado"/>
    </w:pPr>
    <w:r>
      <w:rPr>
        <w:noProof/>
      </w:rPr>
      <mc:AlternateContent>
        <mc:Choice Requires="wps">
          <w:drawing>
            <wp:anchor distT="0" distB="0" distL="114300" distR="114300" simplePos="0" relativeHeight="251661312" behindDoc="0" locked="0" layoutInCell="1" allowOverlap="1" wp14:anchorId="3A245ECD" wp14:editId="2055B7A4">
              <wp:simplePos x="0" y="0"/>
              <wp:positionH relativeFrom="column">
                <wp:posOffset>0</wp:posOffset>
              </wp:positionH>
              <wp:positionV relativeFrom="paragraph">
                <wp:posOffset>80930</wp:posOffset>
              </wp:positionV>
              <wp:extent cx="5924611" cy="18604"/>
              <wp:effectExtent l="0" t="0" r="6350" b="0"/>
              <wp:wrapSquare wrapText="bothSides"/>
              <wp:docPr id="14" name="Rectángulo 14"/>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95DED" id="Rectángulo 14" o:spid="_x0000_s1026" style="position:absolute;margin-left:0;margin-top:6.35pt;width:466.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" fillcolor="black [3213]" stroked="f" strokeweight="1pt">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BA9"/>
    <w:multiLevelType w:val="hybridMultilevel"/>
    <w:tmpl w:val="2932A8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3977B9"/>
    <w:multiLevelType w:val="multilevel"/>
    <w:tmpl w:val="47562C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693E21"/>
    <w:multiLevelType w:val="hybridMultilevel"/>
    <w:tmpl w:val="61D82D18"/>
    <w:lvl w:ilvl="0" w:tplc="42FE63B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A3663D3"/>
    <w:multiLevelType w:val="hybridMultilevel"/>
    <w:tmpl w:val="AF4A40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F07B9D"/>
    <w:multiLevelType w:val="hybridMultilevel"/>
    <w:tmpl w:val="630643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F0906A5"/>
    <w:multiLevelType w:val="multilevel"/>
    <w:tmpl w:val="2C08AB8C"/>
    <w:lvl w:ilvl="0">
      <w:start w:val="2"/>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8232E53"/>
    <w:multiLevelType w:val="hybridMultilevel"/>
    <w:tmpl w:val="AD6C91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8C50185"/>
    <w:multiLevelType w:val="hybridMultilevel"/>
    <w:tmpl w:val="D2CEA3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C7F61FC"/>
    <w:multiLevelType w:val="hybridMultilevel"/>
    <w:tmpl w:val="910E50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D7E1850"/>
    <w:multiLevelType w:val="multilevel"/>
    <w:tmpl w:val="545EFD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A07FDF"/>
    <w:multiLevelType w:val="hybridMultilevel"/>
    <w:tmpl w:val="2A6CD5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2C465FB"/>
    <w:multiLevelType w:val="hybridMultilevel"/>
    <w:tmpl w:val="83A60C8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7633272"/>
    <w:multiLevelType w:val="hybridMultilevel"/>
    <w:tmpl w:val="5FD4E63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C8227F8"/>
    <w:multiLevelType w:val="hybridMultilevel"/>
    <w:tmpl w:val="7C089C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EB80DFC"/>
    <w:multiLevelType w:val="hybridMultilevel"/>
    <w:tmpl w:val="1CA081D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8F70F34"/>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2D6AE9"/>
    <w:multiLevelType w:val="hybridMultilevel"/>
    <w:tmpl w:val="6C243F56"/>
    <w:lvl w:ilvl="0" w:tplc="040A0001">
      <w:start w:val="1"/>
      <w:numFmt w:val="bullet"/>
      <w:lvlText w:val=""/>
      <w:lvlJc w:val="left"/>
      <w:pPr>
        <w:ind w:left="772" w:hanging="360"/>
      </w:pPr>
      <w:rPr>
        <w:rFonts w:ascii="Symbol" w:hAnsi="Symbol" w:hint="default"/>
      </w:rPr>
    </w:lvl>
    <w:lvl w:ilvl="1" w:tplc="040A0003" w:tentative="1">
      <w:start w:val="1"/>
      <w:numFmt w:val="bullet"/>
      <w:lvlText w:val="o"/>
      <w:lvlJc w:val="left"/>
      <w:pPr>
        <w:ind w:left="1492" w:hanging="360"/>
      </w:pPr>
      <w:rPr>
        <w:rFonts w:ascii="Courier New" w:hAnsi="Courier New" w:cs="Courier New" w:hint="default"/>
      </w:rPr>
    </w:lvl>
    <w:lvl w:ilvl="2" w:tplc="040A0005" w:tentative="1">
      <w:start w:val="1"/>
      <w:numFmt w:val="bullet"/>
      <w:lvlText w:val=""/>
      <w:lvlJc w:val="left"/>
      <w:pPr>
        <w:ind w:left="2212" w:hanging="360"/>
      </w:pPr>
      <w:rPr>
        <w:rFonts w:ascii="Wingdings" w:hAnsi="Wingdings" w:hint="default"/>
      </w:rPr>
    </w:lvl>
    <w:lvl w:ilvl="3" w:tplc="040A0001" w:tentative="1">
      <w:start w:val="1"/>
      <w:numFmt w:val="bullet"/>
      <w:lvlText w:val=""/>
      <w:lvlJc w:val="left"/>
      <w:pPr>
        <w:ind w:left="2932" w:hanging="360"/>
      </w:pPr>
      <w:rPr>
        <w:rFonts w:ascii="Symbol" w:hAnsi="Symbol" w:hint="default"/>
      </w:rPr>
    </w:lvl>
    <w:lvl w:ilvl="4" w:tplc="040A0003" w:tentative="1">
      <w:start w:val="1"/>
      <w:numFmt w:val="bullet"/>
      <w:lvlText w:val="o"/>
      <w:lvlJc w:val="left"/>
      <w:pPr>
        <w:ind w:left="3652" w:hanging="360"/>
      </w:pPr>
      <w:rPr>
        <w:rFonts w:ascii="Courier New" w:hAnsi="Courier New" w:cs="Courier New" w:hint="default"/>
      </w:rPr>
    </w:lvl>
    <w:lvl w:ilvl="5" w:tplc="040A0005" w:tentative="1">
      <w:start w:val="1"/>
      <w:numFmt w:val="bullet"/>
      <w:lvlText w:val=""/>
      <w:lvlJc w:val="left"/>
      <w:pPr>
        <w:ind w:left="4372" w:hanging="360"/>
      </w:pPr>
      <w:rPr>
        <w:rFonts w:ascii="Wingdings" w:hAnsi="Wingdings" w:hint="default"/>
      </w:rPr>
    </w:lvl>
    <w:lvl w:ilvl="6" w:tplc="040A0001" w:tentative="1">
      <w:start w:val="1"/>
      <w:numFmt w:val="bullet"/>
      <w:lvlText w:val=""/>
      <w:lvlJc w:val="left"/>
      <w:pPr>
        <w:ind w:left="5092" w:hanging="360"/>
      </w:pPr>
      <w:rPr>
        <w:rFonts w:ascii="Symbol" w:hAnsi="Symbol" w:hint="default"/>
      </w:rPr>
    </w:lvl>
    <w:lvl w:ilvl="7" w:tplc="040A0003" w:tentative="1">
      <w:start w:val="1"/>
      <w:numFmt w:val="bullet"/>
      <w:lvlText w:val="o"/>
      <w:lvlJc w:val="left"/>
      <w:pPr>
        <w:ind w:left="5812" w:hanging="360"/>
      </w:pPr>
      <w:rPr>
        <w:rFonts w:ascii="Courier New" w:hAnsi="Courier New" w:cs="Courier New" w:hint="default"/>
      </w:rPr>
    </w:lvl>
    <w:lvl w:ilvl="8" w:tplc="040A0005" w:tentative="1">
      <w:start w:val="1"/>
      <w:numFmt w:val="bullet"/>
      <w:lvlText w:val=""/>
      <w:lvlJc w:val="left"/>
      <w:pPr>
        <w:ind w:left="6532" w:hanging="360"/>
      </w:pPr>
      <w:rPr>
        <w:rFonts w:ascii="Wingdings" w:hAnsi="Wingdings" w:hint="default"/>
      </w:rPr>
    </w:lvl>
  </w:abstractNum>
  <w:abstractNum w:abstractNumId="17" w15:restartNumberingAfterBreak="0">
    <w:nsid w:val="3B3817AD"/>
    <w:multiLevelType w:val="hybridMultilevel"/>
    <w:tmpl w:val="A36A94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4320" w:hanging="360"/>
      </w:pPr>
      <w:rPr>
        <w:rFonts w:ascii="Courier New" w:hAnsi="Courier New" w:cs="Courier New" w:hint="default"/>
      </w:rPr>
    </w:lvl>
    <w:lvl w:ilvl="2" w:tplc="040A0005" w:tentative="1">
      <w:start w:val="1"/>
      <w:numFmt w:val="bullet"/>
      <w:lvlText w:val=""/>
      <w:lvlJc w:val="left"/>
      <w:pPr>
        <w:ind w:left="5040" w:hanging="360"/>
      </w:pPr>
      <w:rPr>
        <w:rFonts w:ascii="Wingdings" w:hAnsi="Wingdings" w:hint="default"/>
      </w:rPr>
    </w:lvl>
    <w:lvl w:ilvl="3" w:tplc="040A0001" w:tentative="1">
      <w:start w:val="1"/>
      <w:numFmt w:val="bullet"/>
      <w:lvlText w:val=""/>
      <w:lvlJc w:val="left"/>
      <w:pPr>
        <w:ind w:left="5760" w:hanging="360"/>
      </w:pPr>
      <w:rPr>
        <w:rFonts w:ascii="Symbol" w:hAnsi="Symbol" w:hint="default"/>
      </w:rPr>
    </w:lvl>
    <w:lvl w:ilvl="4" w:tplc="040A0003" w:tentative="1">
      <w:start w:val="1"/>
      <w:numFmt w:val="bullet"/>
      <w:lvlText w:val="o"/>
      <w:lvlJc w:val="left"/>
      <w:pPr>
        <w:ind w:left="6480" w:hanging="360"/>
      </w:pPr>
      <w:rPr>
        <w:rFonts w:ascii="Courier New" w:hAnsi="Courier New" w:cs="Courier New" w:hint="default"/>
      </w:rPr>
    </w:lvl>
    <w:lvl w:ilvl="5" w:tplc="040A0005" w:tentative="1">
      <w:start w:val="1"/>
      <w:numFmt w:val="bullet"/>
      <w:lvlText w:val=""/>
      <w:lvlJc w:val="left"/>
      <w:pPr>
        <w:ind w:left="7200" w:hanging="360"/>
      </w:pPr>
      <w:rPr>
        <w:rFonts w:ascii="Wingdings" w:hAnsi="Wingdings" w:hint="default"/>
      </w:rPr>
    </w:lvl>
    <w:lvl w:ilvl="6" w:tplc="040A0001" w:tentative="1">
      <w:start w:val="1"/>
      <w:numFmt w:val="bullet"/>
      <w:lvlText w:val=""/>
      <w:lvlJc w:val="left"/>
      <w:pPr>
        <w:ind w:left="7920" w:hanging="360"/>
      </w:pPr>
      <w:rPr>
        <w:rFonts w:ascii="Symbol" w:hAnsi="Symbol" w:hint="default"/>
      </w:rPr>
    </w:lvl>
    <w:lvl w:ilvl="7" w:tplc="040A0003" w:tentative="1">
      <w:start w:val="1"/>
      <w:numFmt w:val="bullet"/>
      <w:lvlText w:val="o"/>
      <w:lvlJc w:val="left"/>
      <w:pPr>
        <w:ind w:left="8640" w:hanging="360"/>
      </w:pPr>
      <w:rPr>
        <w:rFonts w:ascii="Courier New" w:hAnsi="Courier New" w:cs="Courier New" w:hint="default"/>
      </w:rPr>
    </w:lvl>
    <w:lvl w:ilvl="8" w:tplc="040A0005" w:tentative="1">
      <w:start w:val="1"/>
      <w:numFmt w:val="bullet"/>
      <w:lvlText w:val=""/>
      <w:lvlJc w:val="left"/>
      <w:pPr>
        <w:ind w:left="9360" w:hanging="360"/>
      </w:pPr>
      <w:rPr>
        <w:rFonts w:ascii="Wingdings" w:hAnsi="Wingdings" w:hint="default"/>
      </w:rPr>
    </w:lvl>
  </w:abstractNum>
  <w:abstractNum w:abstractNumId="18" w15:restartNumberingAfterBreak="0">
    <w:nsid w:val="41FD568C"/>
    <w:multiLevelType w:val="hybridMultilevel"/>
    <w:tmpl w:val="61D82D18"/>
    <w:lvl w:ilvl="0" w:tplc="42FE63B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47210AC"/>
    <w:multiLevelType w:val="hybridMultilevel"/>
    <w:tmpl w:val="90A0F1D2"/>
    <w:lvl w:ilvl="0" w:tplc="AA760E12">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52025D6"/>
    <w:multiLevelType w:val="hybridMultilevel"/>
    <w:tmpl w:val="028285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CD82E99"/>
    <w:multiLevelType w:val="hybridMultilevel"/>
    <w:tmpl w:val="4C7233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5351573"/>
    <w:multiLevelType w:val="hybridMultilevel"/>
    <w:tmpl w:val="36DC0248"/>
    <w:lvl w:ilvl="0" w:tplc="AA760E12">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92" w:hanging="360"/>
      </w:pPr>
      <w:rPr>
        <w:rFonts w:ascii="Courier New" w:hAnsi="Courier New" w:cs="Courier New" w:hint="default"/>
      </w:rPr>
    </w:lvl>
    <w:lvl w:ilvl="2" w:tplc="040A0005" w:tentative="1">
      <w:start w:val="1"/>
      <w:numFmt w:val="bullet"/>
      <w:lvlText w:val=""/>
      <w:lvlJc w:val="left"/>
      <w:pPr>
        <w:ind w:left="2212" w:hanging="360"/>
      </w:pPr>
      <w:rPr>
        <w:rFonts w:ascii="Wingdings" w:hAnsi="Wingdings" w:hint="default"/>
      </w:rPr>
    </w:lvl>
    <w:lvl w:ilvl="3" w:tplc="040A0001" w:tentative="1">
      <w:start w:val="1"/>
      <w:numFmt w:val="bullet"/>
      <w:lvlText w:val=""/>
      <w:lvlJc w:val="left"/>
      <w:pPr>
        <w:ind w:left="2932" w:hanging="360"/>
      </w:pPr>
      <w:rPr>
        <w:rFonts w:ascii="Symbol" w:hAnsi="Symbol" w:hint="default"/>
      </w:rPr>
    </w:lvl>
    <w:lvl w:ilvl="4" w:tplc="040A0003" w:tentative="1">
      <w:start w:val="1"/>
      <w:numFmt w:val="bullet"/>
      <w:lvlText w:val="o"/>
      <w:lvlJc w:val="left"/>
      <w:pPr>
        <w:ind w:left="3652" w:hanging="360"/>
      </w:pPr>
      <w:rPr>
        <w:rFonts w:ascii="Courier New" w:hAnsi="Courier New" w:cs="Courier New" w:hint="default"/>
      </w:rPr>
    </w:lvl>
    <w:lvl w:ilvl="5" w:tplc="040A0005" w:tentative="1">
      <w:start w:val="1"/>
      <w:numFmt w:val="bullet"/>
      <w:lvlText w:val=""/>
      <w:lvlJc w:val="left"/>
      <w:pPr>
        <w:ind w:left="4372" w:hanging="360"/>
      </w:pPr>
      <w:rPr>
        <w:rFonts w:ascii="Wingdings" w:hAnsi="Wingdings" w:hint="default"/>
      </w:rPr>
    </w:lvl>
    <w:lvl w:ilvl="6" w:tplc="040A0001" w:tentative="1">
      <w:start w:val="1"/>
      <w:numFmt w:val="bullet"/>
      <w:lvlText w:val=""/>
      <w:lvlJc w:val="left"/>
      <w:pPr>
        <w:ind w:left="5092" w:hanging="360"/>
      </w:pPr>
      <w:rPr>
        <w:rFonts w:ascii="Symbol" w:hAnsi="Symbol" w:hint="default"/>
      </w:rPr>
    </w:lvl>
    <w:lvl w:ilvl="7" w:tplc="040A0003" w:tentative="1">
      <w:start w:val="1"/>
      <w:numFmt w:val="bullet"/>
      <w:lvlText w:val="o"/>
      <w:lvlJc w:val="left"/>
      <w:pPr>
        <w:ind w:left="5812" w:hanging="360"/>
      </w:pPr>
      <w:rPr>
        <w:rFonts w:ascii="Courier New" w:hAnsi="Courier New" w:cs="Courier New" w:hint="default"/>
      </w:rPr>
    </w:lvl>
    <w:lvl w:ilvl="8" w:tplc="040A0005" w:tentative="1">
      <w:start w:val="1"/>
      <w:numFmt w:val="bullet"/>
      <w:lvlText w:val=""/>
      <w:lvlJc w:val="left"/>
      <w:pPr>
        <w:ind w:left="6532" w:hanging="360"/>
      </w:pPr>
      <w:rPr>
        <w:rFonts w:ascii="Wingdings" w:hAnsi="Wingdings" w:hint="default"/>
      </w:rPr>
    </w:lvl>
  </w:abstractNum>
  <w:abstractNum w:abstractNumId="23" w15:restartNumberingAfterBreak="0">
    <w:nsid w:val="55962048"/>
    <w:multiLevelType w:val="hybridMultilevel"/>
    <w:tmpl w:val="52E6AF10"/>
    <w:lvl w:ilvl="0" w:tplc="040A0001">
      <w:start w:val="1"/>
      <w:numFmt w:val="bullet"/>
      <w:lvlText w:val=""/>
      <w:lvlJc w:val="left"/>
      <w:pPr>
        <w:ind w:left="772" w:hanging="360"/>
      </w:pPr>
      <w:rPr>
        <w:rFonts w:ascii="Symbol" w:hAnsi="Symbol" w:hint="default"/>
      </w:rPr>
    </w:lvl>
    <w:lvl w:ilvl="1" w:tplc="040A0003" w:tentative="1">
      <w:start w:val="1"/>
      <w:numFmt w:val="bullet"/>
      <w:lvlText w:val="o"/>
      <w:lvlJc w:val="left"/>
      <w:pPr>
        <w:ind w:left="1492" w:hanging="360"/>
      </w:pPr>
      <w:rPr>
        <w:rFonts w:ascii="Courier New" w:hAnsi="Courier New" w:cs="Courier New" w:hint="default"/>
      </w:rPr>
    </w:lvl>
    <w:lvl w:ilvl="2" w:tplc="040A0005" w:tentative="1">
      <w:start w:val="1"/>
      <w:numFmt w:val="bullet"/>
      <w:lvlText w:val=""/>
      <w:lvlJc w:val="left"/>
      <w:pPr>
        <w:ind w:left="2212" w:hanging="360"/>
      </w:pPr>
      <w:rPr>
        <w:rFonts w:ascii="Wingdings" w:hAnsi="Wingdings" w:hint="default"/>
      </w:rPr>
    </w:lvl>
    <w:lvl w:ilvl="3" w:tplc="040A0001" w:tentative="1">
      <w:start w:val="1"/>
      <w:numFmt w:val="bullet"/>
      <w:lvlText w:val=""/>
      <w:lvlJc w:val="left"/>
      <w:pPr>
        <w:ind w:left="2932" w:hanging="360"/>
      </w:pPr>
      <w:rPr>
        <w:rFonts w:ascii="Symbol" w:hAnsi="Symbol" w:hint="default"/>
      </w:rPr>
    </w:lvl>
    <w:lvl w:ilvl="4" w:tplc="040A0003" w:tentative="1">
      <w:start w:val="1"/>
      <w:numFmt w:val="bullet"/>
      <w:lvlText w:val="o"/>
      <w:lvlJc w:val="left"/>
      <w:pPr>
        <w:ind w:left="3652" w:hanging="360"/>
      </w:pPr>
      <w:rPr>
        <w:rFonts w:ascii="Courier New" w:hAnsi="Courier New" w:cs="Courier New" w:hint="default"/>
      </w:rPr>
    </w:lvl>
    <w:lvl w:ilvl="5" w:tplc="040A0005" w:tentative="1">
      <w:start w:val="1"/>
      <w:numFmt w:val="bullet"/>
      <w:lvlText w:val=""/>
      <w:lvlJc w:val="left"/>
      <w:pPr>
        <w:ind w:left="4372" w:hanging="360"/>
      </w:pPr>
      <w:rPr>
        <w:rFonts w:ascii="Wingdings" w:hAnsi="Wingdings" w:hint="default"/>
      </w:rPr>
    </w:lvl>
    <w:lvl w:ilvl="6" w:tplc="040A0001" w:tentative="1">
      <w:start w:val="1"/>
      <w:numFmt w:val="bullet"/>
      <w:lvlText w:val=""/>
      <w:lvlJc w:val="left"/>
      <w:pPr>
        <w:ind w:left="5092" w:hanging="360"/>
      </w:pPr>
      <w:rPr>
        <w:rFonts w:ascii="Symbol" w:hAnsi="Symbol" w:hint="default"/>
      </w:rPr>
    </w:lvl>
    <w:lvl w:ilvl="7" w:tplc="040A0003" w:tentative="1">
      <w:start w:val="1"/>
      <w:numFmt w:val="bullet"/>
      <w:lvlText w:val="o"/>
      <w:lvlJc w:val="left"/>
      <w:pPr>
        <w:ind w:left="5812" w:hanging="360"/>
      </w:pPr>
      <w:rPr>
        <w:rFonts w:ascii="Courier New" w:hAnsi="Courier New" w:cs="Courier New" w:hint="default"/>
      </w:rPr>
    </w:lvl>
    <w:lvl w:ilvl="8" w:tplc="040A0005" w:tentative="1">
      <w:start w:val="1"/>
      <w:numFmt w:val="bullet"/>
      <w:lvlText w:val=""/>
      <w:lvlJc w:val="left"/>
      <w:pPr>
        <w:ind w:left="6532" w:hanging="360"/>
      </w:pPr>
      <w:rPr>
        <w:rFonts w:ascii="Wingdings" w:hAnsi="Wingdings" w:hint="default"/>
      </w:rPr>
    </w:lvl>
  </w:abstractNum>
  <w:abstractNum w:abstractNumId="24" w15:restartNumberingAfterBreak="0">
    <w:nsid w:val="582E2DCD"/>
    <w:multiLevelType w:val="hybridMultilevel"/>
    <w:tmpl w:val="9DB6E1F4"/>
    <w:lvl w:ilvl="0" w:tplc="AA760E12">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BD70295"/>
    <w:multiLevelType w:val="hybridMultilevel"/>
    <w:tmpl w:val="56CE84DA"/>
    <w:lvl w:ilvl="0" w:tplc="AA760E12">
      <w:start w:val="2"/>
      <w:numFmt w:val="bullet"/>
      <w:lvlText w:val="-"/>
      <w:lvlJc w:val="left"/>
      <w:pPr>
        <w:ind w:left="720" w:hanging="360"/>
      </w:pPr>
      <w:rPr>
        <w:rFonts w:ascii="Arial" w:eastAsia="Times New Roman"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54C54C4"/>
    <w:multiLevelType w:val="multilevel"/>
    <w:tmpl w:val="675CB1E2"/>
    <w:lvl w:ilvl="0">
      <w:start w:val="2"/>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6453638"/>
    <w:multiLevelType w:val="hybridMultilevel"/>
    <w:tmpl w:val="78EA433C"/>
    <w:lvl w:ilvl="0" w:tplc="AA760E12">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77C5DDF"/>
    <w:multiLevelType w:val="hybridMultilevel"/>
    <w:tmpl w:val="48FEC0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A447E65"/>
    <w:multiLevelType w:val="hybridMultilevel"/>
    <w:tmpl w:val="5FD4E63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55E6B4B"/>
    <w:multiLevelType w:val="multilevel"/>
    <w:tmpl w:val="1CA081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1D0A71"/>
    <w:multiLevelType w:val="hybridMultilevel"/>
    <w:tmpl w:val="A6FA37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8B804E6"/>
    <w:multiLevelType w:val="hybridMultilevel"/>
    <w:tmpl w:val="505E8E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97F3F9A"/>
    <w:multiLevelType w:val="multilevel"/>
    <w:tmpl w:val="252421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A7A6D74"/>
    <w:multiLevelType w:val="hybridMultilevel"/>
    <w:tmpl w:val="0444F9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9"/>
  </w:num>
  <w:num w:numId="4">
    <w:abstractNumId w:val="34"/>
  </w:num>
  <w:num w:numId="5">
    <w:abstractNumId w:val="16"/>
  </w:num>
  <w:num w:numId="6">
    <w:abstractNumId w:val="18"/>
  </w:num>
  <w:num w:numId="7">
    <w:abstractNumId w:val="2"/>
  </w:num>
  <w:num w:numId="8">
    <w:abstractNumId w:val="9"/>
  </w:num>
  <w:num w:numId="9">
    <w:abstractNumId w:val="11"/>
  </w:num>
  <w:num w:numId="10">
    <w:abstractNumId w:val="5"/>
  </w:num>
  <w:num w:numId="11">
    <w:abstractNumId w:val="19"/>
  </w:num>
  <w:num w:numId="12">
    <w:abstractNumId w:val="25"/>
  </w:num>
  <w:num w:numId="13">
    <w:abstractNumId w:val="22"/>
  </w:num>
  <w:num w:numId="14">
    <w:abstractNumId w:val="24"/>
  </w:num>
  <w:num w:numId="15">
    <w:abstractNumId w:val="15"/>
  </w:num>
  <w:num w:numId="16">
    <w:abstractNumId w:val="1"/>
  </w:num>
  <w:num w:numId="17">
    <w:abstractNumId w:val="33"/>
  </w:num>
  <w:num w:numId="18">
    <w:abstractNumId w:val="17"/>
  </w:num>
  <w:num w:numId="19">
    <w:abstractNumId w:val="26"/>
  </w:num>
  <w:num w:numId="20">
    <w:abstractNumId w:val="20"/>
  </w:num>
  <w:num w:numId="21">
    <w:abstractNumId w:val="28"/>
  </w:num>
  <w:num w:numId="22">
    <w:abstractNumId w:val="10"/>
  </w:num>
  <w:num w:numId="23">
    <w:abstractNumId w:val="7"/>
  </w:num>
  <w:num w:numId="24">
    <w:abstractNumId w:val="6"/>
  </w:num>
  <w:num w:numId="25">
    <w:abstractNumId w:val="8"/>
  </w:num>
  <w:num w:numId="26">
    <w:abstractNumId w:val="32"/>
  </w:num>
  <w:num w:numId="27">
    <w:abstractNumId w:val="0"/>
  </w:num>
  <w:num w:numId="28">
    <w:abstractNumId w:val="13"/>
  </w:num>
  <w:num w:numId="29">
    <w:abstractNumId w:val="31"/>
  </w:num>
  <w:num w:numId="30">
    <w:abstractNumId w:val="21"/>
  </w:num>
  <w:num w:numId="31">
    <w:abstractNumId w:val="4"/>
  </w:num>
  <w:num w:numId="32">
    <w:abstractNumId w:val="23"/>
  </w:num>
  <w:num w:numId="33">
    <w:abstractNumId w:val="3"/>
  </w:num>
  <w:num w:numId="34">
    <w:abstractNumId w:val="3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activeWritingStyle w:appName="MSWord" w:lang="es-ES" w:vendorID="64" w:dllVersion="4096"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F1"/>
    <w:rsid w:val="00002C89"/>
    <w:rsid w:val="0000752D"/>
    <w:rsid w:val="0001192D"/>
    <w:rsid w:val="00012830"/>
    <w:rsid w:val="0002183F"/>
    <w:rsid w:val="000235DF"/>
    <w:rsid w:val="000307CD"/>
    <w:rsid w:val="00032AEE"/>
    <w:rsid w:val="0003346A"/>
    <w:rsid w:val="000408AB"/>
    <w:rsid w:val="00044CE3"/>
    <w:rsid w:val="00046226"/>
    <w:rsid w:val="000468A0"/>
    <w:rsid w:val="00053B00"/>
    <w:rsid w:val="000570E3"/>
    <w:rsid w:val="0005795F"/>
    <w:rsid w:val="0006190B"/>
    <w:rsid w:val="000657E1"/>
    <w:rsid w:val="000777D3"/>
    <w:rsid w:val="00082101"/>
    <w:rsid w:val="000827D7"/>
    <w:rsid w:val="000B020B"/>
    <w:rsid w:val="000B2471"/>
    <w:rsid w:val="000B6235"/>
    <w:rsid w:val="000C0FB4"/>
    <w:rsid w:val="000D1623"/>
    <w:rsid w:val="000E210F"/>
    <w:rsid w:val="000E3BB6"/>
    <w:rsid w:val="000E3EAD"/>
    <w:rsid w:val="000E56E6"/>
    <w:rsid w:val="000E772F"/>
    <w:rsid w:val="000E7E63"/>
    <w:rsid w:val="000E7F62"/>
    <w:rsid w:val="000F5648"/>
    <w:rsid w:val="00106DD6"/>
    <w:rsid w:val="001100A3"/>
    <w:rsid w:val="00125DA6"/>
    <w:rsid w:val="00130F93"/>
    <w:rsid w:val="00134CAC"/>
    <w:rsid w:val="00137339"/>
    <w:rsid w:val="00137AAE"/>
    <w:rsid w:val="0014139C"/>
    <w:rsid w:val="00147204"/>
    <w:rsid w:val="00152CA2"/>
    <w:rsid w:val="0015309C"/>
    <w:rsid w:val="0016404C"/>
    <w:rsid w:val="00167F5E"/>
    <w:rsid w:val="0017266E"/>
    <w:rsid w:val="00172FD6"/>
    <w:rsid w:val="00175818"/>
    <w:rsid w:val="00175AF5"/>
    <w:rsid w:val="00190CAD"/>
    <w:rsid w:val="00191033"/>
    <w:rsid w:val="00191E30"/>
    <w:rsid w:val="001A1E54"/>
    <w:rsid w:val="001A6EA5"/>
    <w:rsid w:val="001B47CC"/>
    <w:rsid w:val="001B66E0"/>
    <w:rsid w:val="001B7CBB"/>
    <w:rsid w:val="001D6BE4"/>
    <w:rsid w:val="001F18B3"/>
    <w:rsid w:val="001F65F0"/>
    <w:rsid w:val="001F7388"/>
    <w:rsid w:val="002029ED"/>
    <w:rsid w:val="00205A56"/>
    <w:rsid w:val="00206E25"/>
    <w:rsid w:val="00206F35"/>
    <w:rsid w:val="00212941"/>
    <w:rsid w:val="002138BD"/>
    <w:rsid w:val="00220ABB"/>
    <w:rsid w:val="0022110D"/>
    <w:rsid w:val="00230A76"/>
    <w:rsid w:val="0023233E"/>
    <w:rsid w:val="00237FC0"/>
    <w:rsid w:val="00240440"/>
    <w:rsid w:val="00243D42"/>
    <w:rsid w:val="0024426C"/>
    <w:rsid w:val="00246CE6"/>
    <w:rsid w:val="002470BB"/>
    <w:rsid w:val="00247311"/>
    <w:rsid w:val="00256CC5"/>
    <w:rsid w:val="00257376"/>
    <w:rsid w:val="002672D1"/>
    <w:rsid w:val="00273B85"/>
    <w:rsid w:val="00280AD6"/>
    <w:rsid w:val="00281860"/>
    <w:rsid w:val="00287570"/>
    <w:rsid w:val="00293279"/>
    <w:rsid w:val="002A0E45"/>
    <w:rsid w:val="002A401E"/>
    <w:rsid w:val="002C11BF"/>
    <w:rsid w:val="002D48FA"/>
    <w:rsid w:val="002E1D9D"/>
    <w:rsid w:val="002E23E1"/>
    <w:rsid w:val="002E2D4F"/>
    <w:rsid w:val="002F053A"/>
    <w:rsid w:val="003016FD"/>
    <w:rsid w:val="00302B6C"/>
    <w:rsid w:val="00304C0B"/>
    <w:rsid w:val="00305057"/>
    <w:rsid w:val="00312422"/>
    <w:rsid w:val="00313686"/>
    <w:rsid w:val="00313A31"/>
    <w:rsid w:val="00322D79"/>
    <w:rsid w:val="003261BA"/>
    <w:rsid w:val="00327378"/>
    <w:rsid w:val="0033050E"/>
    <w:rsid w:val="00337DEC"/>
    <w:rsid w:val="003436E4"/>
    <w:rsid w:val="00343852"/>
    <w:rsid w:val="00343DB0"/>
    <w:rsid w:val="00353265"/>
    <w:rsid w:val="00357294"/>
    <w:rsid w:val="0036376F"/>
    <w:rsid w:val="0036649F"/>
    <w:rsid w:val="00366534"/>
    <w:rsid w:val="0036789D"/>
    <w:rsid w:val="00370938"/>
    <w:rsid w:val="00371EA4"/>
    <w:rsid w:val="00372E87"/>
    <w:rsid w:val="00374CA4"/>
    <w:rsid w:val="003801C8"/>
    <w:rsid w:val="003828A4"/>
    <w:rsid w:val="00383ACA"/>
    <w:rsid w:val="0038705A"/>
    <w:rsid w:val="003912AD"/>
    <w:rsid w:val="00396522"/>
    <w:rsid w:val="003A20C9"/>
    <w:rsid w:val="003A7D70"/>
    <w:rsid w:val="003B5BA9"/>
    <w:rsid w:val="003C4E3D"/>
    <w:rsid w:val="003C60AC"/>
    <w:rsid w:val="003D222A"/>
    <w:rsid w:val="003D3E70"/>
    <w:rsid w:val="003E0C0E"/>
    <w:rsid w:val="003E18FC"/>
    <w:rsid w:val="003E294F"/>
    <w:rsid w:val="003E6705"/>
    <w:rsid w:val="003F3A8A"/>
    <w:rsid w:val="003F4BB5"/>
    <w:rsid w:val="003F64F7"/>
    <w:rsid w:val="0040185D"/>
    <w:rsid w:val="00402590"/>
    <w:rsid w:val="004046BF"/>
    <w:rsid w:val="004105C5"/>
    <w:rsid w:val="00414146"/>
    <w:rsid w:val="00415557"/>
    <w:rsid w:val="00420CAB"/>
    <w:rsid w:val="004273B5"/>
    <w:rsid w:val="0043484B"/>
    <w:rsid w:val="004414F4"/>
    <w:rsid w:val="004434C0"/>
    <w:rsid w:val="00453F2C"/>
    <w:rsid w:val="004616AF"/>
    <w:rsid w:val="00465372"/>
    <w:rsid w:val="0046684E"/>
    <w:rsid w:val="00476A48"/>
    <w:rsid w:val="0048070D"/>
    <w:rsid w:val="00492999"/>
    <w:rsid w:val="004A3045"/>
    <w:rsid w:val="004A3E53"/>
    <w:rsid w:val="004A49D2"/>
    <w:rsid w:val="004A5B6A"/>
    <w:rsid w:val="004A69AE"/>
    <w:rsid w:val="004A6DBB"/>
    <w:rsid w:val="004A72AB"/>
    <w:rsid w:val="004B19A2"/>
    <w:rsid w:val="004B1C42"/>
    <w:rsid w:val="004B1EE5"/>
    <w:rsid w:val="004B3A78"/>
    <w:rsid w:val="004C3C1B"/>
    <w:rsid w:val="004D7A9A"/>
    <w:rsid w:val="004E038A"/>
    <w:rsid w:val="004E24FF"/>
    <w:rsid w:val="004E2BF0"/>
    <w:rsid w:val="004E638A"/>
    <w:rsid w:val="004F1DEE"/>
    <w:rsid w:val="004F20DE"/>
    <w:rsid w:val="004F6482"/>
    <w:rsid w:val="004F66FD"/>
    <w:rsid w:val="004F6D7B"/>
    <w:rsid w:val="00501799"/>
    <w:rsid w:val="005147A1"/>
    <w:rsid w:val="00516913"/>
    <w:rsid w:val="00522C9C"/>
    <w:rsid w:val="00523845"/>
    <w:rsid w:val="005276A0"/>
    <w:rsid w:val="00534B9F"/>
    <w:rsid w:val="00536838"/>
    <w:rsid w:val="00541714"/>
    <w:rsid w:val="005423F8"/>
    <w:rsid w:val="00542654"/>
    <w:rsid w:val="00542E0E"/>
    <w:rsid w:val="00546819"/>
    <w:rsid w:val="00547B67"/>
    <w:rsid w:val="005515B6"/>
    <w:rsid w:val="00554C18"/>
    <w:rsid w:val="00560529"/>
    <w:rsid w:val="0056159E"/>
    <w:rsid w:val="00564D90"/>
    <w:rsid w:val="0056565C"/>
    <w:rsid w:val="005722CD"/>
    <w:rsid w:val="005736B4"/>
    <w:rsid w:val="00573AF8"/>
    <w:rsid w:val="00575813"/>
    <w:rsid w:val="00580255"/>
    <w:rsid w:val="00581483"/>
    <w:rsid w:val="005830F8"/>
    <w:rsid w:val="00586FCE"/>
    <w:rsid w:val="00597C66"/>
    <w:rsid w:val="005A3270"/>
    <w:rsid w:val="005A3C89"/>
    <w:rsid w:val="005B11DD"/>
    <w:rsid w:val="005B13D5"/>
    <w:rsid w:val="005B4F30"/>
    <w:rsid w:val="005B648B"/>
    <w:rsid w:val="005C2987"/>
    <w:rsid w:val="005C57B8"/>
    <w:rsid w:val="005C7E06"/>
    <w:rsid w:val="005D559E"/>
    <w:rsid w:val="005E2448"/>
    <w:rsid w:val="005E5C1F"/>
    <w:rsid w:val="005F098A"/>
    <w:rsid w:val="005F180C"/>
    <w:rsid w:val="005F4096"/>
    <w:rsid w:val="005F79DA"/>
    <w:rsid w:val="006012D2"/>
    <w:rsid w:val="00601E38"/>
    <w:rsid w:val="006053E1"/>
    <w:rsid w:val="00620DC7"/>
    <w:rsid w:val="00621339"/>
    <w:rsid w:val="00621A1F"/>
    <w:rsid w:val="00631CA2"/>
    <w:rsid w:val="006356FD"/>
    <w:rsid w:val="006366AE"/>
    <w:rsid w:val="0064196D"/>
    <w:rsid w:val="0064332A"/>
    <w:rsid w:val="006462C5"/>
    <w:rsid w:val="00650475"/>
    <w:rsid w:val="0065142B"/>
    <w:rsid w:val="00655428"/>
    <w:rsid w:val="00670EFF"/>
    <w:rsid w:val="00683B18"/>
    <w:rsid w:val="00685960"/>
    <w:rsid w:val="00692809"/>
    <w:rsid w:val="006931EA"/>
    <w:rsid w:val="00693617"/>
    <w:rsid w:val="006973D2"/>
    <w:rsid w:val="006A00F7"/>
    <w:rsid w:val="006A0329"/>
    <w:rsid w:val="006A3DE0"/>
    <w:rsid w:val="006A6F4A"/>
    <w:rsid w:val="006A7C09"/>
    <w:rsid w:val="006B6394"/>
    <w:rsid w:val="006C4B65"/>
    <w:rsid w:val="006C704B"/>
    <w:rsid w:val="006D7511"/>
    <w:rsid w:val="006E1155"/>
    <w:rsid w:val="006E5BBD"/>
    <w:rsid w:val="006E5C3E"/>
    <w:rsid w:val="006E6195"/>
    <w:rsid w:val="006F12B5"/>
    <w:rsid w:val="006F3AEA"/>
    <w:rsid w:val="006F7E2D"/>
    <w:rsid w:val="006F7F16"/>
    <w:rsid w:val="00703D58"/>
    <w:rsid w:val="00704BC6"/>
    <w:rsid w:val="00706475"/>
    <w:rsid w:val="00720283"/>
    <w:rsid w:val="00723DE5"/>
    <w:rsid w:val="007279FE"/>
    <w:rsid w:val="00746390"/>
    <w:rsid w:val="00755CE2"/>
    <w:rsid w:val="00761221"/>
    <w:rsid w:val="00761E29"/>
    <w:rsid w:val="007620E9"/>
    <w:rsid w:val="00766B1D"/>
    <w:rsid w:val="007702F7"/>
    <w:rsid w:val="007719F6"/>
    <w:rsid w:val="00773897"/>
    <w:rsid w:val="00774B7A"/>
    <w:rsid w:val="00775233"/>
    <w:rsid w:val="0077742A"/>
    <w:rsid w:val="00784A7C"/>
    <w:rsid w:val="00790822"/>
    <w:rsid w:val="00795D83"/>
    <w:rsid w:val="0079655B"/>
    <w:rsid w:val="007A1116"/>
    <w:rsid w:val="007B15B1"/>
    <w:rsid w:val="007B17BE"/>
    <w:rsid w:val="007C56BD"/>
    <w:rsid w:val="007D176F"/>
    <w:rsid w:val="007D5CDA"/>
    <w:rsid w:val="007D771F"/>
    <w:rsid w:val="007E1320"/>
    <w:rsid w:val="007F1985"/>
    <w:rsid w:val="007F68AA"/>
    <w:rsid w:val="00805CF6"/>
    <w:rsid w:val="00816D70"/>
    <w:rsid w:val="0082209C"/>
    <w:rsid w:val="00826E7D"/>
    <w:rsid w:val="00833537"/>
    <w:rsid w:val="00836306"/>
    <w:rsid w:val="00840080"/>
    <w:rsid w:val="008509A0"/>
    <w:rsid w:val="00851530"/>
    <w:rsid w:val="008703AD"/>
    <w:rsid w:val="00872978"/>
    <w:rsid w:val="00873831"/>
    <w:rsid w:val="008754F9"/>
    <w:rsid w:val="0087680A"/>
    <w:rsid w:val="0087751E"/>
    <w:rsid w:val="00883203"/>
    <w:rsid w:val="00885B0A"/>
    <w:rsid w:val="00885C71"/>
    <w:rsid w:val="008901E5"/>
    <w:rsid w:val="008A15BB"/>
    <w:rsid w:val="008A39DD"/>
    <w:rsid w:val="008A5C74"/>
    <w:rsid w:val="008B34AF"/>
    <w:rsid w:val="008C0D51"/>
    <w:rsid w:val="008C583E"/>
    <w:rsid w:val="008C7956"/>
    <w:rsid w:val="008C7C36"/>
    <w:rsid w:val="008D1240"/>
    <w:rsid w:val="008E02F6"/>
    <w:rsid w:val="008E181C"/>
    <w:rsid w:val="008E6902"/>
    <w:rsid w:val="0090238C"/>
    <w:rsid w:val="009029DC"/>
    <w:rsid w:val="009046B2"/>
    <w:rsid w:val="00914378"/>
    <w:rsid w:val="0092159C"/>
    <w:rsid w:val="009244D9"/>
    <w:rsid w:val="009276A2"/>
    <w:rsid w:val="0093149A"/>
    <w:rsid w:val="00932286"/>
    <w:rsid w:val="00937A94"/>
    <w:rsid w:val="00942740"/>
    <w:rsid w:val="00942F89"/>
    <w:rsid w:val="00944D23"/>
    <w:rsid w:val="00954FDF"/>
    <w:rsid w:val="009601E4"/>
    <w:rsid w:val="009613B9"/>
    <w:rsid w:val="00976173"/>
    <w:rsid w:val="00977421"/>
    <w:rsid w:val="00980727"/>
    <w:rsid w:val="00980A75"/>
    <w:rsid w:val="009822A1"/>
    <w:rsid w:val="009833E3"/>
    <w:rsid w:val="00986781"/>
    <w:rsid w:val="00986E62"/>
    <w:rsid w:val="00997350"/>
    <w:rsid w:val="009A0474"/>
    <w:rsid w:val="009A1E21"/>
    <w:rsid w:val="009B0D73"/>
    <w:rsid w:val="009B77CD"/>
    <w:rsid w:val="009C5319"/>
    <w:rsid w:val="009D15FF"/>
    <w:rsid w:val="009D388F"/>
    <w:rsid w:val="009D742D"/>
    <w:rsid w:val="009E39A8"/>
    <w:rsid w:val="009E4683"/>
    <w:rsid w:val="009F0315"/>
    <w:rsid w:val="009F1FC3"/>
    <w:rsid w:val="00A010D7"/>
    <w:rsid w:val="00A0125C"/>
    <w:rsid w:val="00A01550"/>
    <w:rsid w:val="00A02D3A"/>
    <w:rsid w:val="00A0431A"/>
    <w:rsid w:val="00A043EB"/>
    <w:rsid w:val="00A062C4"/>
    <w:rsid w:val="00A10F95"/>
    <w:rsid w:val="00A12F82"/>
    <w:rsid w:val="00A13F99"/>
    <w:rsid w:val="00A15219"/>
    <w:rsid w:val="00A24892"/>
    <w:rsid w:val="00A2635F"/>
    <w:rsid w:val="00A26DD0"/>
    <w:rsid w:val="00A31438"/>
    <w:rsid w:val="00A41721"/>
    <w:rsid w:val="00A54B6B"/>
    <w:rsid w:val="00A57CAC"/>
    <w:rsid w:val="00A66611"/>
    <w:rsid w:val="00A748BF"/>
    <w:rsid w:val="00A82660"/>
    <w:rsid w:val="00A84C5E"/>
    <w:rsid w:val="00A85941"/>
    <w:rsid w:val="00A957C0"/>
    <w:rsid w:val="00AA39E1"/>
    <w:rsid w:val="00AA4A17"/>
    <w:rsid w:val="00AA54AD"/>
    <w:rsid w:val="00AB0349"/>
    <w:rsid w:val="00AB05E3"/>
    <w:rsid w:val="00AB11BC"/>
    <w:rsid w:val="00AB2480"/>
    <w:rsid w:val="00AB387A"/>
    <w:rsid w:val="00AC37F7"/>
    <w:rsid w:val="00AE1635"/>
    <w:rsid w:val="00AE1EC6"/>
    <w:rsid w:val="00AE1EFE"/>
    <w:rsid w:val="00AE747D"/>
    <w:rsid w:val="00B002E6"/>
    <w:rsid w:val="00B03B1A"/>
    <w:rsid w:val="00B04FCB"/>
    <w:rsid w:val="00B07AFA"/>
    <w:rsid w:val="00B15D77"/>
    <w:rsid w:val="00B17CCF"/>
    <w:rsid w:val="00B23EB2"/>
    <w:rsid w:val="00B2588E"/>
    <w:rsid w:val="00B279C4"/>
    <w:rsid w:val="00B420CA"/>
    <w:rsid w:val="00B4573E"/>
    <w:rsid w:val="00B5250F"/>
    <w:rsid w:val="00B556AB"/>
    <w:rsid w:val="00B5605F"/>
    <w:rsid w:val="00B56197"/>
    <w:rsid w:val="00B665AE"/>
    <w:rsid w:val="00B7546F"/>
    <w:rsid w:val="00B80FAD"/>
    <w:rsid w:val="00B85ABC"/>
    <w:rsid w:val="00B9202E"/>
    <w:rsid w:val="00B93F01"/>
    <w:rsid w:val="00BA67AD"/>
    <w:rsid w:val="00BB113A"/>
    <w:rsid w:val="00BB226C"/>
    <w:rsid w:val="00BB26AF"/>
    <w:rsid w:val="00BB40E4"/>
    <w:rsid w:val="00BC396D"/>
    <w:rsid w:val="00BD0E23"/>
    <w:rsid w:val="00BD1337"/>
    <w:rsid w:val="00BD5B53"/>
    <w:rsid w:val="00BE040E"/>
    <w:rsid w:val="00BE2EBE"/>
    <w:rsid w:val="00BE4180"/>
    <w:rsid w:val="00BF142B"/>
    <w:rsid w:val="00BF594B"/>
    <w:rsid w:val="00BF5C7D"/>
    <w:rsid w:val="00C0578D"/>
    <w:rsid w:val="00C060A7"/>
    <w:rsid w:val="00C12812"/>
    <w:rsid w:val="00C13127"/>
    <w:rsid w:val="00C14651"/>
    <w:rsid w:val="00C1626F"/>
    <w:rsid w:val="00C21D90"/>
    <w:rsid w:val="00C252B0"/>
    <w:rsid w:val="00C32830"/>
    <w:rsid w:val="00C36056"/>
    <w:rsid w:val="00C40C6E"/>
    <w:rsid w:val="00C41C26"/>
    <w:rsid w:val="00C42D62"/>
    <w:rsid w:val="00C50654"/>
    <w:rsid w:val="00C54AC3"/>
    <w:rsid w:val="00C56195"/>
    <w:rsid w:val="00C632E4"/>
    <w:rsid w:val="00C726DF"/>
    <w:rsid w:val="00C80CE9"/>
    <w:rsid w:val="00C82625"/>
    <w:rsid w:val="00CA1AFA"/>
    <w:rsid w:val="00CB3A54"/>
    <w:rsid w:val="00CC5EF7"/>
    <w:rsid w:val="00CD038D"/>
    <w:rsid w:val="00CD104D"/>
    <w:rsid w:val="00CE05E4"/>
    <w:rsid w:val="00CE4D9B"/>
    <w:rsid w:val="00CE5304"/>
    <w:rsid w:val="00CF70AD"/>
    <w:rsid w:val="00CF7C53"/>
    <w:rsid w:val="00D018A7"/>
    <w:rsid w:val="00D03FBB"/>
    <w:rsid w:val="00D0577A"/>
    <w:rsid w:val="00D102D8"/>
    <w:rsid w:val="00D12BDE"/>
    <w:rsid w:val="00D17B03"/>
    <w:rsid w:val="00D20AB6"/>
    <w:rsid w:val="00D30269"/>
    <w:rsid w:val="00D42B25"/>
    <w:rsid w:val="00D46767"/>
    <w:rsid w:val="00D51D8D"/>
    <w:rsid w:val="00D53E9E"/>
    <w:rsid w:val="00D60ABF"/>
    <w:rsid w:val="00D65482"/>
    <w:rsid w:val="00D734CC"/>
    <w:rsid w:val="00D75653"/>
    <w:rsid w:val="00D84830"/>
    <w:rsid w:val="00D924BE"/>
    <w:rsid w:val="00D94EDD"/>
    <w:rsid w:val="00D96498"/>
    <w:rsid w:val="00D97D63"/>
    <w:rsid w:val="00D97D79"/>
    <w:rsid w:val="00DA06BA"/>
    <w:rsid w:val="00DA1F3A"/>
    <w:rsid w:val="00DA2481"/>
    <w:rsid w:val="00DA714D"/>
    <w:rsid w:val="00DB4943"/>
    <w:rsid w:val="00DB7929"/>
    <w:rsid w:val="00DC1138"/>
    <w:rsid w:val="00DC7E2D"/>
    <w:rsid w:val="00DD5D23"/>
    <w:rsid w:val="00DD67A6"/>
    <w:rsid w:val="00DD6C12"/>
    <w:rsid w:val="00DE1291"/>
    <w:rsid w:val="00DE4C54"/>
    <w:rsid w:val="00DF1DAC"/>
    <w:rsid w:val="00DF4739"/>
    <w:rsid w:val="00DF620D"/>
    <w:rsid w:val="00E01C26"/>
    <w:rsid w:val="00E03921"/>
    <w:rsid w:val="00E039B6"/>
    <w:rsid w:val="00E10060"/>
    <w:rsid w:val="00E107FF"/>
    <w:rsid w:val="00E11317"/>
    <w:rsid w:val="00E14AE6"/>
    <w:rsid w:val="00E2763D"/>
    <w:rsid w:val="00E334F1"/>
    <w:rsid w:val="00E35A06"/>
    <w:rsid w:val="00E36026"/>
    <w:rsid w:val="00E364E5"/>
    <w:rsid w:val="00E44F4D"/>
    <w:rsid w:val="00E45480"/>
    <w:rsid w:val="00E53981"/>
    <w:rsid w:val="00E55F96"/>
    <w:rsid w:val="00E5704F"/>
    <w:rsid w:val="00E60714"/>
    <w:rsid w:val="00E60ED6"/>
    <w:rsid w:val="00E67FDA"/>
    <w:rsid w:val="00E729C2"/>
    <w:rsid w:val="00E8313D"/>
    <w:rsid w:val="00E853DC"/>
    <w:rsid w:val="00E85C5D"/>
    <w:rsid w:val="00EA2E31"/>
    <w:rsid w:val="00EA3EF1"/>
    <w:rsid w:val="00EA7823"/>
    <w:rsid w:val="00EC0697"/>
    <w:rsid w:val="00EC34A1"/>
    <w:rsid w:val="00EC3C36"/>
    <w:rsid w:val="00ED1745"/>
    <w:rsid w:val="00ED4A4B"/>
    <w:rsid w:val="00ED6702"/>
    <w:rsid w:val="00EE2597"/>
    <w:rsid w:val="00EE38EA"/>
    <w:rsid w:val="00EE3D45"/>
    <w:rsid w:val="00EE4D58"/>
    <w:rsid w:val="00EE682F"/>
    <w:rsid w:val="00EF1EC8"/>
    <w:rsid w:val="00EF37AD"/>
    <w:rsid w:val="00F01398"/>
    <w:rsid w:val="00F01CEB"/>
    <w:rsid w:val="00F1276D"/>
    <w:rsid w:val="00F279CF"/>
    <w:rsid w:val="00F3207E"/>
    <w:rsid w:val="00F37162"/>
    <w:rsid w:val="00F42B32"/>
    <w:rsid w:val="00F447F1"/>
    <w:rsid w:val="00F51F5F"/>
    <w:rsid w:val="00F557AB"/>
    <w:rsid w:val="00F55E81"/>
    <w:rsid w:val="00F6493A"/>
    <w:rsid w:val="00F659B5"/>
    <w:rsid w:val="00F6734A"/>
    <w:rsid w:val="00F7210C"/>
    <w:rsid w:val="00F72B4C"/>
    <w:rsid w:val="00F72FE4"/>
    <w:rsid w:val="00F76812"/>
    <w:rsid w:val="00F76A1B"/>
    <w:rsid w:val="00F87F4B"/>
    <w:rsid w:val="00FA481A"/>
    <w:rsid w:val="00FA4CE4"/>
    <w:rsid w:val="00FA6320"/>
    <w:rsid w:val="00FC6057"/>
    <w:rsid w:val="00FC60F3"/>
    <w:rsid w:val="00FD3ADF"/>
    <w:rsid w:val="00FE00DD"/>
    <w:rsid w:val="00FE1AE0"/>
    <w:rsid w:val="00FE3856"/>
    <w:rsid w:val="00FE6FD8"/>
    <w:rsid w:val="00FE73CA"/>
    <w:rsid w:val="00FF406F"/>
    <w:rsid w:val="00FF513B"/>
    <w:rsid w:val="00FF594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7B442"/>
  <w15:chartTrackingRefBased/>
  <w15:docId w15:val="{C3B216AE-E8B1-EA44-A79F-7B33075E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2830"/>
    <w:rPr>
      <w:rFonts w:ascii="Times New Roman" w:eastAsia="Times New Roman" w:hAnsi="Times New Roman" w:cs="Times New Roman"/>
      <w:lang w:val="ca-ES" w:eastAsia="es-ES_tradnl"/>
    </w:rPr>
  </w:style>
  <w:style w:type="paragraph" w:styleId="Ttulo1">
    <w:name w:val="heading 1"/>
    <w:basedOn w:val="Normal"/>
    <w:next w:val="Normal"/>
    <w:link w:val="Ttulo1Car"/>
    <w:uiPriority w:val="9"/>
    <w:qFormat/>
    <w:rsid w:val="00B03B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B03B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47F1"/>
    <w:pPr>
      <w:tabs>
        <w:tab w:val="center" w:pos="4252"/>
        <w:tab w:val="right" w:pos="8504"/>
      </w:tabs>
    </w:pPr>
  </w:style>
  <w:style w:type="character" w:customStyle="1" w:styleId="EncabezadoCar">
    <w:name w:val="Encabezado Car"/>
    <w:basedOn w:val="Fuentedeprrafopredeter"/>
    <w:link w:val="Encabezado"/>
    <w:uiPriority w:val="99"/>
    <w:rsid w:val="00F447F1"/>
    <w:rPr>
      <w:lang w:val="ca-ES"/>
    </w:rPr>
  </w:style>
  <w:style w:type="paragraph" w:styleId="Piedepgina">
    <w:name w:val="footer"/>
    <w:basedOn w:val="Normal"/>
    <w:link w:val="PiedepginaCar"/>
    <w:uiPriority w:val="99"/>
    <w:unhideWhenUsed/>
    <w:rsid w:val="00F447F1"/>
    <w:pPr>
      <w:tabs>
        <w:tab w:val="center" w:pos="4252"/>
        <w:tab w:val="right" w:pos="8504"/>
      </w:tabs>
    </w:pPr>
  </w:style>
  <w:style w:type="character" w:customStyle="1" w:styleId="PiedepginaCar">
    <w:name w:val="Pie de página Car"/>
    <w:basedOn w:val="Fuentedeprrafopredeter"/>
    <w:link w:val="Piedepgina"/>
    <w:uiPriority w:val="99"/>
    <w:rsid w:val="00F447F1"/>
    <w:rPr>
      <w:lang w:val="ca-ES"/>
    </w:rPr>
  </w:style>
  <w:style w:type="table" w:styleId="Tablaconcuadrcula">
    <w:name w:val="Table Grid"/>
    <w:basedOn w:val="Tablanormal"/>
    <w:uiPriority w:val="39"/>
    <w:rsid w:val="00F44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43852"/>
    <w:rPr>
      <w:color w:val="0563C1" w:themeColor="hyperlink"/>
      <w:u w:val="single"/>
    </w:rPr>
  </w:style>
  <w:style w:type="character" w:styleId="Mencinsinresolver">
    <w:name w:val="Unresolved Mention"/>
    <w:basedOn w:val="Fuentedeprrafopredeter"/>
    <w:uiPriority w:val="99"/>
    <w:rsid w:val="00343852"/>
    <w:rPr>
      <w:color w:val="605E5C"/>
      <w:shd w:val="clear" w:color="auto" w:fill="E1DFDD"/>
    </w:rPr>
  </w:style>
  <w:style w:type="character" w:styleId="Nmerodepgina">
    <w:name w:val="page number"/>
    <w:basedOn w:val="Fuentedeprrafopredeter"/>
    <w:uiPriority w:val="99"/>
    <w:semiHidden/>
    <w:unhideWhenUsed/>
    <w:rsid w:val="00560529"/>
  </w:style>
  <w:style w:type="paragraph" w:styleId="Prrafodelista">
    <w:name w:val="List Paragraph"/>
    <w:basedOn w:val="Normal"/>
    <w:uiPriority w:val="34"/>
    <w:qFormat/>
    <w:rsid w:val="00287570"/>
    <w:pPr>
      <w:ind w:left="720"/>
      <w:contextualSpacing/>
    </w:pPr>
  </w:style>
  <w:style w:type="character" w:styleId="Hipervnculovisitado">
    <w:name w:val="FollowedHyperlink"/>
    <w:basedOn w:val="Fuentedeprrafopredeter"/>
    <w:uiPriority w:val="99"/>
    <w:semiHidden/>
    <w:unhideWhenUsed/>
    <w:rsid w:val="00A24892"/>
    <w:rPr>
      <w:color w:val="954F72" w:themeColor="followedHyperlink"/>
      <w:u w:val="single"/>
    </w:rPr>
  </w:style>
  <w:style w:type="character" w:customStyle="1" w:styleId="Ttulo1Car">
    <w:name w:val="Título 1 Car"/>
    <w:basedOn w:val="Fuentedeprrafopredeter"/>
    <w:link w:val="Ttulo1"/>
    <w:uiPriority w:val="9"/>
    <w:rsid w:val="00B03B1A"/>
    <w:rPr>
      <w:rFonts w:asciiTheme="majorHAnsi" w:eastAsiaTheme="majorEastAsia" w:hAnsiTheme="majorHAnsi" w:cstheme="majorBidi"/>
      <w:color w:val="2F5496" w:themeColor="accent1" w:themeShade="BF"/>
      <w:sz w:val="32"/>
      <w:szCs w:val="32"/>
      <w:lang w:val="ca-ES"/>
    </w:rPr>
  </w:style>
  <w:style w:type="character" w:customStyle="1" w:styleId="Ttulo2Car">
    <w:name w:val="Título 2 Car"/>
    <w:basedOn w:val="Fuentedeprrafopredeter"/>
    <w:link w:val="Ttulo2"/>
    <w:uiPriority w:val="9"/>
    <w:semiHidden/>
    <w:rsid w:val="00B03B1A"/>
    <w:rPr>
      <w:rFonts w:asciiTheme="majorHAnsi" w:eastAsiaTheme="majorEastAsia" w:hAnsiTheme="majorHAnsi" w:cstheme="majorBidi"/>
      <w:color w:val="2F5496" w:themeColor="accent1" w:themeShade="BF"/>
      <w:sz w:val="26"/>
      <w:szCs w:val="26"/>
      <w:lang w:val="ca-ES"/>
    </w:rPr>
  </w:style>
  <w:style w:type="paragraph" w:styleId="Textonotapie">
    <w:name w:val="footnote text"/>
    <w:basedOn w:val="Normal"/>
    <w:link w:val="TextonotapieCar"/>
    <w:uiPriority w:val="99"/>
    <w:unhideWhenUsed/>
    <w:rsid w:val="00B002E6"/>
    <w:rPr>
      <w:sz w:val="20"/>
      <w:szCs w:val="20"/>
    </w:rPr>
  </w:style>
  <w:style w:type="character" w:customStyle="1" w:styleId="TextonotapieCar">
    <w:name w:val="Texto nota pie Car"/>
    <w:basedOn w:val="Fuentedeprrafopredeter"/>
    <w:link w:val="Textonotapie"/>
    <w:uiPriority w:val="99"/>
    <w:rsid w:val="00B002E6"/>
    <w:rPr>
      <w:sz w:val="20"/>
      <w:szCs w:val="20"/>
      <w:lang w:val="ca-ES"/>
    </w:rPr>
  </w:style>
  <w:style w:type="character" w:styleId="Refdenotaalpie">
    <w:name w:val="footnote reference"/>
    <w:basedOn w:val="Fuentedeprrafopredeter"/>
    <w:uiPriority w:val="99"/>
    <w:semiHidden/>
    <w:unhideWhenUsed/>
    <w:rsid w:val="00B002E6"/>
    <w:rPr>
      <w:vertAlign w:val="superscript"/>
    </w:rPr>
  </w:style>
  <w:style w:type="paragraph" w:styleId="Textonotaalfinal">
    <w:name w:val="endnote text"/>
    <w:basedOn w:val="Normal"/>
    <w:link w:val="TextonotaalfinalCar"/>
    <w:uiPriority w:val="99"/>
    <w:semiHidden/>
    <w:unhideWhenUsed/>
    <w:rsid w:val="004F1DEE"/>
    <w:rPr>
      <w:sz w:val="20"/>
      <w:szCs w:val="20"/>
    </w:rPr>
  </w:style>
  <w:style w:type="character" w:customStyle="1" w:styleId="TextonotaalfinalCar">
    <w:name w:val="Texto nota al final Car"/>
    <w:basedOn w:val="Fuentedeprrafopredeter"/>
    <w:link w:val="Textonotaalfinal"/>
    <w:uiPriority w:val="99"/>
    <w:semiHidden/>
    <w:rsid w:val="004F1DEE"/>
    <w:rPr>
      <w:sz w:val="20"/>
      <w:szCs w:val="20"/>
      <w:lang w:val="ca-ES"/>
    </w:rPr>
  </w:style>
  <w:style w:type="character" w:styleId="Refdenotaalfinal">
    <w:name w:val="endnote reference"/>
    <w:basedOn w:val="Fuentedeprrafopredeter"/>
    <w:uiPriority w:val="99"/>
    <w:semiHidden/>
    <w:unhideWhenUsed/>
    <w:rsid w:val="004F1DEE"/>
    <w:rPr>
      <w:vertAlign w:val="superscript"/>
    </w:rPr>
  </w:style>
  <w:style w:type="character" w:styleId="Textodelmarcadordeposicin">
    <w:name w:val="Placeholder Text"/>
    <w:basedOn w:val="Fuentedeprrafopredeter"/>
    <w:uiPriority w:val="99"/>
    <w:semiHidden/>
    <w:rsid w:val="00E039B6"/>
    <w:rPr>
      <w:color w:val="808080"/>
    </w:rPr>
  </w:style>
  <w:style w:type="character" w:styleId="Refdecomentario">
    <w:name w:val="annotation reference"/>
    <w:basedOn w:val="Fuentedeprrafopredeter"/>
    <w:uiPriority w:val="99"/>
    <w:semiHidden/>
    <w:unhideWhenUsed/>
    <w:rsid w:val="005736B4"/>
    <w:rPr>
      <w:sz w:val="16"/>
      <w:szCs w:val="16"/>
    </w:rPr>
  </w:style>
  <w:style w:type="paragraph" w:styleId="Textocomentario">
    <w:name w:val="annotation text"/>
    <w:basedOn w:val="Normal"/>
    <w:link w:val="TextocomentarioCar"/>
    <w:uiPriority w:val="99"/>
    <w:semiHidden/>
    <w:unhideWhenUsed/>
    <w:rsid w:val="005736B4"/>
    <w:rPr>
      <w:sz w:val="20"/>
      <w:szCs w:val="20"/>
    </w:rPr>
  </w:style>
  <w:style w:type="character" w:customStyle="1" w:styleId="TextocomentarioCar">
    <w:name w:val="Texto comentario Car"/>
    <w:basedOn w:val="Fuentedeprrafopredeter"/>
    <w:link w:val="Textocomentario"/>
    <w:uiPriority w:val="99"/>
    <w:semiHidden/>
    <w:rsid w:val="005736B4"/>
    <w:rPr>
      <w:rFonts w:ascii="Times New Roman" w:eastAsia="Times New Roman" w:hAnsi="Times New Roman" w:cs="Times New Roman"/>
      <w:sz w:val="20"/>
      <w:szCs w:val="20"/>
      <w:lang w:val="ca-ES" w:eastAsia="es-ES_tradnl"/>
    </w:rPr>
  </w:style>
  <w:style w:type="paragraph" w:styleId="Asuntodelcomentario">
    <w:name w:val="annotation subject"/>
    <w:basedOn w:val="Textocomentario"/>
    <w:next w:val="Textocomentario"/>
    <w:link w:val="AsuntodelcomentarioCar"/>
    <w:uiPriority w:val="99"/>
    <w:semiHidden/>
    <w:unhideWhenUsed/>
    <w:rsid w:val="005736B4"/>
    <w:rPr>
      <w:b/>
      <w:bCs/>
    </w:rPr>
  </w:style>
  <w:style w:type="character" w:customStyle="1" w:styleId="AsuntodelcomentarioCar">
    <w:name w:val="Asunto del comentario Car"/>
    <w:basedOn w:val="TextocomentarioCar"/>
    <w:link w:val="Asuntodelcomentario"/>
    <w:uiPriority w:val="99"/>
    <w:semiHidden/>
    <w:rsid w:val="005736B4"/>
    <w:rPr>
      <w:rFonts w:ascii="Times New Roman" w:eastAsia="Times New Roman" w:hAnsi="Times New Roman" w:cs="Times New Roman"/>
      <w:b/>
      <w:bCs/>
      <w:sz w:val="20"/>
      <w:szCs w:val="20"/>
      <w:lang w:val="ca-ES" w:eastAsia="es-ES_tradnl"/>
    </w:rPr>
  </w:style>
  <w:style w:type="paragraph" w:styleId="Textodeglobo">
    <w:name w:val="Balloon Text"/>
    <w:basedOn w:val="Normal"/>
    <w:link w:val="TextodegloboCar"/>
    <w:uiPriority w:val="99"/>
    <w:semiHidden/>
    <w:unhideWhenUsed/>
    <w:rsid w:val="005736B4"/>
    <w:rPr>
      <w:sz w:val="18"/>
      <w:szCs w:val="18"/>
    </w:rPr>
  </w:style>
  <w:style w:type="character" w:customStyle="1" w:styleId="TextodegloboCar">
    <w:name w:val="Texto de globo Car"/>
    <w:basedOn w:val="Fuentedeprrafopredeter"/>
    <w:link w:val="Textodeglobo"/>
    <w:uiPriority w:val="99"/>
    <w:semiHidden/>
    <w:rsid w:val="005736B4"/>
    <w:rPr>
      <w:rFonts w:ascii="Times New Roman" w:eastAsia="Times New Roman" w:hAnsi="Times New Roman" w:cs="Times New Roman"/>
      <w:sz w:val="18"/>
      <w:szCs w:val="18"/>
      <w:lang w:val="ca-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9379">
      <w:bodyDiv w:val="1"/>
      <w:marLeft w:val="0"/>
      <w:marRight w:val="0"/>
      <w:marTop w:val="0"/>
      <w:marBottom w:val="0"/>
      <w:divBdr>
        <w:top w:val="none" w:sz="0" w:space="0" w:color="auto"/>
        <w:left w:val="none" w:sz="0" w:space="0" w:color="auto"/>
        <w:bottom w:val="none" w:sz="0" w:space="0" w:color="auto"/>
        <w:right w:val="none" w:sz="0" w:space="0" w:color="auto"/>
      </w:divBdr>
    </w:div>
    <w:div w:id="221794637">
      <w:bodyDiv w:val="1"/>
      <w:marLeft w:val="0"/>
      <w:marRight w:val="0"/>
      <w:marTop w:val="0"/>
      <w:marBottom w:val="0"/>
      <w:divBdr>
        <w:top w:val="none" w:sz="0" w:space="0" w:color="auto"/>
        <w:left w:val="none" w:sz="0" w:space="0" w:color="auto"/>
        <w:bottom w:val="none" w:sz="0" w:space="0" w:color="auto"/>
        <w:right w:val="none" w:sz="0" w:space="0" w:color="auto"/>
      </w:divBdr>
    </w:div>
    <w:div w:id="267201005">
      <w:bodyDiv w:val="1"/>
      <w:marLeft w:val="0"/>
      <w:marRight w:val="0"/>
      <w:marTop w:val="0"/>
      <w:marBottom w:val="0"/>
      <w:divBdr>
        <w:top w:val="none" w:sz="0" w:space="0" w:color="auto"/>
        <w:left w:val="none" w:sz="0" w:space="0" w:color="auto"/>
        <w:bottom w:val="none" w:sz="0" w:space="0" w:color="auto"/>
        <w:right w:val="none" w:sz="0" w:space="0" w:color="auto"/>
      </w:divBdr>
    </w:div>
    <w:div w:id="276110553">
      <w:bodyDiv w:val="1"/>
      <w:marLeft w:val="0"/>
      <w:marRight w:val="0"/>
      <w:marTop w:val="0"/>
      <w:marBottom w:val="0"/>
      <w:divBdr>
        <w:top w:val="none" w:sz="0" w:space="0" w:color="auto"/>
        <w:left w:val="none" w:sz="0" w:space="0" w:color="auto"/>
        <w:bottom w:val="none" w:sz="0" w:space="0" w:color="auto"/>
        <w:right w:val="none" w:sz="0" w:space="0" w:color="auto"/>
      </w:divBdr>
    </w:div>
    <w:div w:id="298146870">
      <w:bodyDiv w:val="1"/>
      <w:marLeft w:val="0"/>
      <w:marRight w:val="0"/>
      <w:marTop w:val="0"/>
      <w:marBottom w:val="0"/>
      <w:divBdr>
        <w:top w:val="none" w:sz="0" w:space="0" w:color="auto"/>
        <w:left w:val="none" w:sz="0" w:space="0" w:color="auto"/>
        <w:bottom w:val="none" w:sz="0" w:space="0" w:color="auto"/>
        <w:right w:val="none" w:sz="0" w:space="0" w:color="auto"/>
      </w:divBdr>
    </w:div>
    <w:div w:id="308677056">
      <w:bodyDiv w:val="1"/>
      <w:marLeft w:val="0"/>
      <w:marRight w:val="0"/>
      <w:marTop w:val="0"/>
      <w:marBottom w:val="0"/>
      <w:divBdr>
        <w:top w:val="none" w:sz="0" w:space="0" w:color="auto"/>
        <w:left w:val="none" w:sz="0" w:space="0" w:color="auto"/>
        <w:bottom w:val="none" w:sz="0" w:space="0" w:color="auto"/>
        <w:right w:val="none" w:sz="0" w:space="0" w:color="auto"/>
      </w:divBdr>
    </w:div>
    <w:div w:id="314993038">
      <w:bodyDiv w:val="1"/>
      <w:marLeft w:val="0"/>
      <w:marRight w:val="0"/>
      <w:marTop w:val="0"/>
      <w:marBottom w:val="0"/>
      <w:divBdr>
        <w:top w:val="none" w:sz="0" w:space="0" w:color="auto"/>
        <w:left w:val="none" w:sz="0" w:space="0" w:color="auto"/>
        <w:bottom w:val="none" w:sz="0" w:space="0" w:color="auto"/>
        <w:right w:val="none" w:sz="0" w:space="0" w:color="auto"/>
      </w:divBdr>
    </w:div>
    <w:div w:id="315064216">
      <w:bodyDiv w:val="1"/>
      <w:marLeft w:val="0"/>
      <w:marRight w:val="0"/>
      <w:marTop w:val="0"/>
      <w:marBottom w:val="0"/>
      <w:divBdr>
        <w:top w:val="none" w:sz="0" w:space="0" w:color="auto"/>
        <w:left w:val="none" w:sz="0" w:space="0" w:color="auto"/>
        <w:bottom w:val="none" w:sz="0" w:space="0" w:color="auto"/>
        <w:right w:val="none" w:sz="0" w:space="0" w:color="auto"/>
      </w:divBdr>
    </w:div>
    <w:div w:id="346369325">
      <w:bodyDiv w:val="1"/>
      <w:marLeft w:val="0"/>
      <w:marRight w:val="0"/>
      <w:marTop w:val="0"/>
      <w:marBottom w:val="0"/>
      <w:divBdr>
        <w:top w:val="none" w:sz="0" w:space="0" w:color="auto"/>
        <w:left w:val="none" w:sz="0" w:space="0" w:color="auto"/>
        <w:bottom w:val="none" w:sz="0" w:space="0" w:color="auto"/>
        <w:right w:val="none" w:sz="0" w:space="0" w:color="auto"/>
      </w:divBdr>
    </w:div>
    <w:div w:id="398479412">
      <w:bodyDiv w:val="1"/>
      <w:marLeft w:val="0"/>
      <w:marRight w:val="0"/>
      <w:marTop w:val="0"/>
      <w:marBottom w:val="0"/>
      <w:divBdr>
        <w:top w:val="none" w:sz="0" w:space="0" w:color="auto"/>
        <w:left w:val="none" w:sz="0" w:space="0" w:color="auto"/>
        <w:bottom w:val="none" w:sz="0" w:space="0" w:color="auto"/>
        <w:right w:val="none" w:sz="0" w:space="0" w:color="auto"/>
      </w:divBdr>
    </w:div>
    <w:div w:id="543979656">
      <w:bodyDiv w:val="1"/>
      <w:marLeft w:val="0"/>
      <w:marRight w:val="0"/>
      <w:marTop w:val="0"/>
      <w:marBottom w:val="0"/>
      <w:divBdr>
        <w:top w:val="none" w:sz="0" w:space="0" w:color="auto"/>
        <w:left w:val="none" w:sz="0" w:space="0" w:color="auto"/>
        <w:bottom w:val="none" w:sz="0" w:space="0" w:color="auto"/>
        <w:right w:val="none" w:sz="0" w:space="0" w:color="auto"/>
      </w:divBdr>
    </w:div>
    <w:div w:id="598105149">
      <w:bodyDiv w:val="1"/>
      <w:marLeft w:val="0"/>
      <w:marRight w:val="0"/>
      <w:marTop w:val="0"/>
      <w:marBottom w:val="0"/>
      <w:divBdr>
        <w:top w:val="none" w:sz="0" w:space="0" w:color="auto"/>
        <w:left w:val="none" w:sz="0" w:space="0" w:color="auto"/>
        <w:bottom w:val="none" w:sz="0" w:space="0" w:color="auto"/>
        <w:right w:val="none" w:sz="0" w:space="0" w:color="auto"/>
      </w:divBdr>
    </w:div>
    <w:div w:id="627322389">
      <w:bodyDiv w:val="1"/>
      <w:marLeft w:val="0"/>
      <w:marRight w:val="0"/>
      <w:marTop w:val="0"/>
      <w:marBottom w:val="0"/>
      <w:divBdr>
        <w:top w:val="none" w:sz="0" w:space="0" w:color="auto"/>
        <w:left w:val="none" w:sz="0" w:space="0" w:color="auto"/>
        <w:bottom w:val="none" w:sz="0" w:space="0" w:color="auto"/>
        <w:right w:val="none" w:sz="0" w:space="0" w:color="auto"/>
      </w:divBdr>
    </w:div>
    <w:div w:id="635792863">
      <w:bodyDiv w:val="1"/>
      <w:marLeft w:val="0"/>
      <w:marRight w:val="0"/>
      <w:marTop w:val="0"/>
      <w:marBottom w:val="0"/>
      <w:divBdr>
        <w:top w:val="none" w:sz="0" w:space="0" w:color="auto"/>
        <w:left w:val="none" w:sz="0" w:space="0" w:color="auto"/>
        <w:bottom w:val="none" w:sz="0" w:space="0" w:color="auto"/>
        <w:right w:val="none" w:sz="0" w:space="0" w:color="auto"/>
      </w:divBdr>
    </w:div>
    <w:div w:id="645822669">
      <w:bodyDiv w:val="1"/>
      <w:marLeft w:val="0"/>
      <w:marRight w:val="0"/>
      <w:marTop w:val="0"/>
      <w:marBottom w:val="0"/>
      <w:divBdr>
        <w:top w:val="none" w:sz="0" w:space="0" w:color="auto"/>
        <w:left w:val="none" w:sz="0" w:space="0" w:color="auto"/>
        <w:bottom w:val="none" w:sz="0" w:space="0" w:color="auto"/>
        <w:right w:val="none" w:sz="0" w:space="0" w:color="auto"/>
      </w:divBdr>
    </w:div>
    <w:div w:id="647637414">
      <w:bodyDiv w:val="1"/>
      <w:marLeft w:val="0"/>
      <w:marRight w:val="0"/>
      <w:marTop w:val="0"/>
      <w:marBottom w:val="0"/>
      <w:divBdr>
        <w:top w:val="none" w:sz="0" w:space="0" w:color="auto"/>
        <w:left w:val="none" w:sz="0" w:space="0" w:color="auto"/>
        <w:bottom w:val="none" w:sz="0" w:space="0" w:color="auto"/>
        <w:right w:val="none" w:sz="0" w:space="0" w:color="auto"/>
      </w:divBdr>
    </w:div>
    <w:div w:id="654260515">
      <w:bodyDiv w:val="1"/>
      <w:marLeft w:val="0"/>
      <w:marRight w:val="0"/>
      <w:marTop w:val="0"/>
      <w:marBottom w:val="0"/>
      <w:divBdr>
        <w:top w:val="none" w:sz="0" w:space="0" w:color="auto"/>
        <w:left w:val="none" w:sz="0" w:space="0" w:color="auto"/>
        <w:bottom w:val="none" w:sz="0" w:space="0" w:color="auto"/>
        <w:right w:val="none" w:sz="0" w:space="0" w:color="auto"/>
      </w:divBdr>
    </w:div>
    <w:div w:id="674962534">
      <w:bodyDiv w:val="1"/>
      <w:marLeft w:val="0"/>
      <w:marRight w:val="0"/>
      <w:marTop w:val="0"/>
      <w:marBottom w:val="0"/>
      <w:divBdr>
        <w:top w:val="none" w:sz="0" w:space="0" w:color="auto"/>
        <w:left w:val="none" w:sz="0" w:space="0" w:color="auto"/>
        <w:bottom w:val="none" w:sz="0" w:space="0" w:color="auto"/>
        <w:right w:val="none" w:sz="0" w:space="0" w:color="auto"/>
      </w:divBdr>
    </w:div>
    <w:div w:id="689836852">
      <w:bodyDiv w:val="1"/>
      <w:marLeft w:val="0"/>
      <w:marRight w:val="0"/>
      <w:marTop w:val="0"/>
      <w:marBottom w:val="0"/>
      <w:divBdr>
        <w:top w:val="none" w:sz="0" w:space="0" w:color="auto"/>
        <w:left w:val="none" w:sz="0" w:space="0" w:color="auto"/>
        <w:bottom w:val="none" w:sz="0" w:space="0" w:color="auto"/>
        <w:right w:val="none" w:sz="0" w:space="0" w:color="auto"/>
      </w:divBdr>
    </w:div>
    <w:div w:id="691229631">
      <w:bodyDiv w:val="1"/>
      <w:marLeft w:val="0"/>
      <w:marRight w:val="0"/>
      <w:marTop w:val="0"/>
      <w:marBottom w:val="0"/>
      <w:divBdr>
        <w:top w:val="none" w:sz="0" w:space="0" w:color="auto"/>
        <w:left w:val="none" w:sz="0" w:space="0" w:color="auto"/>
        <w:bottom w:val="none" w:sz="0" w:space="0" w:color="auto"/>
        <w:right w:val="none" w:sz="0" w:space="0" w:color="auto"/>
      </w:divBdr>
    </w:div>
    <w:div w:id="767047454">
      <w:bodyDiv w:val="1"/>
      <w:marLeft w:val="0"/>
      <w:marRight w:val="0"/>
      <w:marTop w:val="0"/>
      <w:marBottom w:val="0"/>
      <w:divBdr>
        <w:top w:val="none" w:sz="0" w:space="0" w:color="auto"/>
        <w:left w:val="none" w:sz="0" w:space="0" w:color="auto"/>
        <w:bottom w:val="none" w:sz="0" w:space="0" w:color="auto"/>
        <w:right w:val="none" w:sz="0" w:space="0" w:color="auto"/>
      </w:divBdr>
    </w:div>
    <w:div w:id="775828283">
      <w:bodyDiv w:val="1"/>
      <w:marLeft w:val="0"/>
      <w:marRight w:val="0"/>
      <w:marTop w:val="0"/>
      <w:marBottom w:val="0"/>
      <w:divBdr>
        <w:top w:val="none" w:sz="0" w:space="0" w:color="auto"/>
        <w:left w:val="none" w:sz="0" w:space="0" w:color="auto"/>
        <w:bottom w:val="none" w:sz="0" w:space="0" w:color="auto"/>
        <w:right w:val="none" w:sz="0" w:space="0" w:color="auto"/>
      </w:divBdr>
    </w:div>
    <w:div w:id="820972375">
      <w:bodyDiv w:val="1"/>
      <w:marLeft w:val="0"/>
      <w:marRight w:val="0"/>
      <w:marTop w:val="0"/>
      <w:marBottom w:val="0"/>
      <w:divBdr>
        <w:top w:val="none" w:sz="0" w:space="0" w:color="auto"/>
        <w:left w:val="none" w:sz="0" w:space="0" w:color="auto"/>
        <w:bottom w:val="none" w:sz="0" w:space="0" w:color="auto"/>
        <w:right w:val="none" w:sz="0" w:space="0" w:color="auto"/>
      </w:divBdr>
    </w:div>
    <w:div w:id="854075770">
      <w:bodyDiv w:val="1"/>
      <w:marLeft w:val="0"/>
      <w:marRight w:val="0"/>
      <w:marTop w:val="0"/>
      <w:marBottom w:val="0"/>
      <w:divBdr>
        <w:top w:val="none" w:sz="0" w:space="0" w:color="auto"/>
        <w:left w:val="none" w:sz="0" w:space="0" w:color="auto"/>
        <w:bottom w:val="none" w:sz="0" w:space="0" w:color="auto"/>
        <w:right w:val="none" w:sz="0" w:space="0" w:color="auto"/>
      </w:divBdr>
    </w:div>
    <w:div w:id="863321051">
      <w:bodyDiv w:val="1"/>
      <w:marLeft w:val="0"/>
      <w:marRight w:val="0"/>
      <w:marTop w:val="0"/>
      <w:marBottom w:val="0"/>
      <w:divBdr>
        <w:top w:val="none" w:sz="0" w:space="0" w:color="auto"/>
        <w:left w:val="none" w:sz="0" w:space="0" w:color="auto"/>
        <w:bottom w:val="none" w:sz="0" w:space="0" w:color="auto"/>
        <w:right w:val="none" w:sz="0" w:space="0" w:color="auto"/>
      </w:divBdr>
    </w:div>
    <w:div w:id="999238838">
      <w:bodyDiv w:val="1"/>
      <w:marLeft w:val="0"/>
      <w:marRight w:val="0"/>
      <w:marTop w:val="0"/>
      <w:marBottom w:val="0"/>
      <w:divBdr>
        <w:top w:val="none" w:sz="0" w:space="0" w:color="auto"/>
        <w:left w:val="none" w:sz="0" w:space="0" w:color="auto"/>
        <w:bottom w:val="none" w:sz="0" w:space="0" w:color="auto"/>
        <w:right w:val="none" w:sz="0" w:space="0" w:color="auto"/>
      </w:divBdr>
    </w:div>
    <w:div w:id="1114056010">
      <w:bodyDiv w:val="1"/>
      <w:marLeft w:val="0"/>
      <w:marRight w:val="0"/>
      <w:marTop w:val="0"/>
      <w:marBottom w:val="0"/>
      <w:divBdr>
        <w:top w:val="none" w:sz="0" w:space="0" w:color="auto"/>
        <w:left w:val="none" w:sz="0" w:space="0" w:color="auto"/>
        <w:bottom w:val="none" w:sz="0" w:space="0" w:color="auto"/>
        <w:right w:val="none" w:sz="0" w:space="0" w:color="auto"/>
      </w:divBdr>
    </w:div>
    <w:div w:id="1183668032">
      <w:bodyDiv w:val="1"/>
      <w:marLeft w:val="0"/>
      <w:marRight w:val="0"/>
      <w:marTop w:val="0"/>
      <w:marBottom w:val="0"/>
      <w:divBdr>
        <w:top w:val="none" w:sz="0" w:space="0" w:color="auto"/>
        <w:left w:val="none" w:sz="0" w:space="0" w:color="auto"/>
        <w:bottom w:val="none" w:sz="0" w:space="0" w:color="auto"/>
        <w:right w:val="none" w:sz="0" w:space="0" w:color="auto"/>
      </w:divBdr>
    </w:div>
    <w:div w:id="1268003079">
      <w:bodyDiv w:val="1"/>
      <w:marLeft w:val="0"/>
      <w:marRight w:val="0"/>
      <w:marTop w:val="0"/>
      <w:marBottom w:val="0"/>
      <w:divBdr>
        <w:top w:val="none" w:sz="0" w:space="0" w:color="auto"/>
        <w:left w:val="none" w:sz="0" w:space="0" w:color="auto"/>
        <w:bottom w:val="none" w:sz="0" w:space="0" w:color="auto"/>
        <w:right w:val="none" w:sz="0" w:space="0" w:color="auto"/>
      </w:divBdr>
    </w:div>
    <w:div w:id="1277567327">
      <w:bodyDiv w:val="1"/>
      <w:marLeft w:val="0"/>
      <w:marRight w:val="0"/>
      <w:marTop w:val="0"/>
      <w:marBottom w:val="0"/>
      <w:divBdr>
        <w:top w:val="none" w:sz="0" w:space="0" w:color="auto"/>
        <w:left w:val="none" w:sz="0" w:space="0" w:color="auto"/>
        <w:bottom w:val="none" w:sz="0" w:space="0" w:color="auto"/>
        <w:right w:val="none" w:sz="0" w:space="0" w:color="auto"/>
      </w:divBdr>
    </w:div>
    <w:div w:id="1318850134">
      <w:bodyDiv w:val="1"/>
      <w:marLeft w:val="0"/>
      <w:marRight w:val="0"/>
      <w:marTop w:val="0"/>
      <w:marBottom w:val="0"/>
      <w:divBdr>
        <w:top w:val="none" w:sz="0" w:space="0" w:color="auto"/>
        <w:left w:val="none" w:sz="0" w:space="0" w:color="auto"/>
        <w:bottom w:val="none" w:sz="0" w:space="0" w:color="auto"/>
        <w:right w:val="none" w:sz="0" w:space="0" w:color="auto"/>
      </w:divBdr>
    </w:div>
    <w:div w:id="1329672561">
      <w:bodyDiv w:val="1"/>
      <w:marLeft w:val="0"/>
      <w:marRight w:val="0"/>
      <w:marTop w:val="0"/>
      <w:marBottom w:val="0"/>
      <w:divBdr>
        <w:top w:val="none" w:sz="0" w:space="0" w:color="auto"/>
        <w:left w:val="none" w:sz="0" w:space="0" w:color="auto"/>
        <w:bottom w:val="none" w:sz="0" w:space="0" w:color="auto"/>
        <w:right w:val="none" w:sz="0" w:space="0" w:color="auto"/>
      </w:divBdr>
    </w:div>
    <w:div w:id="1342665163">
      <w:bodyDiv w:val="1"/>
      <w:marLeft w:val="0"/>
      <w:marRight w:val="0"/>
      <w:marTop w:val="0"/>
      <w:marBottom w:val="0"/>
      <w:divBdr>
        <w:top w:val="none" w:sz="0" w:space="0" w:color="auto"/>
        <w:left w:val="none" w:sz="0" w:space="0" w:color="auto"/>
        <w:bottom w:val="none" w:sz="0" w:space="0" w:color="auto"/>
        <w:right w:val="none" w:sz="0" w:space="0" w:color="auto"/>
      </w:divBdr>
    </w:div>
    <w:div w:id="1371109082">
      <w:bodyDiv w:val="1"/>
      <w:marLeft w:val="0"/>
      <w:marRight w:val="0"/>
      <w:marTop w:val="0"/>
      <w:marBottom w:val="0"/>
      <w:divBdr>
        <w:top w:val="none" w:sz="0" w:space="0" w:color="auto"/>
        <w:left w:val="none" w:sz="0" w:space="0" w:color="auto"/>
        <w:bottom w:val="none" w:sz="0" w:space="0" w:color="auto"/>
        <w:right w:val="none" w:sz="0" w:space="0" w:color="auto"/>
      </w:divBdr>
    </w:div>
    <w:div w:id="1401514769">
      <w:bodyDiv w:val="1"/>
      <w:marLeft w:val="0"/>
      <w:marRight w:val="0"/>
      <w:marTop w:val="0"/>
      <w:marBottom w:val="0"/>
      <w:divBdr>
        <w:top w:val="none" w:sz="0" w:space="0" w:color="auto"/>
        <w:left w:val="none" w:sz="0" w:space="0" w:color="auto"/>
        <w:bottom w:val="none" w:sz="0" w:space="0" w:color="auto"/>
        <w:right w:val="none" w:sz="0" w:space="0" w:color="auto"/>
      </w:divBdr>
    </w:div>
    <w:div w:id="1401757895">
      <w:bodyDiv w:val="1"/>
      <w:marLeft w:val="0"/>
      <w:marRight w:val="0"/>
      <w:marTop w:val="0"/>
      <w:marBottom w:val="0"/>
      <w:divBdr>
        <w:top w:val="none" w:sz="0" w:space="0" w:color="auto"/>
        <w:left w:val="none" w:sz="0" w:space="0" w:color="auto"/>
        <w:bottom w:val="none" w:sz="0" w:space="0" w:color="auto"/>
        <w:right w:val="none" w:sz="0" w:space="0" w:color="auto"/>
      </w:divBdr>
    </w:div>
    <w:div w:id="1419599932">
      <w:bodyDiv w:val="1"/>
      <w:marLeft w:val="0"/>
      <w:marRight w:val="0"/>
      <w:marTop w:val="0"/>
      <w:marBottom w:val="0"/>
      <w:divBdr>
        <w:top w:val="none" w:sz="0" w:space="0" w:color="auto"/>
        <w:left w:val="none" w:sz="0" w:space="0" w:color="auto"/>
        <w:bottom w:val="none" w:sz="0" w:space="0" w:color="auto"/>
        <w:right w:val="none" w:sz="0" w:space="0" w:color="auto"/>
      </w:divBdr>
    </w:div>
    <w:div w:id="1420522452">
      <w:bodyDiv w:val="1"/>
      <w:marLeft w:val="0"/>
      <w:marRight w:val="0"/>
      <w:marTop w:val="0"/>
      <w:marBottom w:val="0"/>
      <w:divBdr>
        <w:top w:val="none" w:sz="0" w:space="0" w:color="auto"/>
        <w:left w:val="none" w:sz="0" w:space="0" w:color="auto"/>
        <w:bottom w:val="none" w:sz="0" w:space="0" w:color="auto"/>
        <w:right w:val="none" w:sz="0" w:space="0" w:color="auto"/>
      </w:divBdr>
    </w:div>
    <w:div w:id="1468084657">
      <w:bodyDiv w:val="1"/>
      <w:marLeft w:val="0"/>
      <w:marRight w:val="0"/>
      <w:marTop w:val="0"/>
      <w:marBottom w:val="0"/>
      <w:divBdr>
        <w:top w:val="none" w:sz="0" w:space="0" w:color="auto"/>
        <w:left w:val="none" w:sz="0" w:space="0" w:color="auto"/>
        <w:bottom w:val="none" w:sz="0" w:space="0" w:color="auto"/>
        <w:right w:val="none" w:sz="0" w:space="0" w:color="auto"/>
      </w:divBdr>
    </w:div>
    <w:div w:id="1491019089">
      <w:bodyDiv w:val="1"/>
      <w:marLeft w:val="0"/>
      <w:marRight w:val="0"/>
      <w:marTop w:val="0"/>
      <w:marBottom w:val="0"/>
      <w:divBdr>
        <w:top w:val="none" w:sz="0" w:space="0" w:color="auto"/>
        <w:left w:val="none" w:sz="0" w:space="0" w:color="auto"/>
        <w:bottom w:val="none" w:sz="0" w:space="0" w:color="auto"/>
        <w:right w:val="none" w:sz="0" w:space="0" w:color="auto"/>
      </w:divBdr>
    </w:div>
    <w:div w:id="1524783014">
      <w:bodyDiv w:val="1"/>
      <w:marLeft w:val="0"/>
      <w:marRight w:val="0"/>
      <w:marTop w:val="0"/>
      <w:marBottom w:val="0"/>
      <w:divBdr>
        <w:top w:val="none" w:sz="0" w:space="0" w:color="auto"/>
        <w:left w:val="none" w:sz="0" w:space="0" w:color="auto"/>
        <w:bottom w:val="none" w:sz="0" w:space="0" w:color="auto"/>
        <w:right w:val="none" w:sz="0" w:space="0" w:color="auto"/>
      </w:divBdr>
    </w:div>
    <w:div w:id="1526596071">
      <w:bodyDiv w:val="1"/>
      <w:marLeft w:val="0"/>
      <w:marRight w:val="0"/>
      <w:marTop w:val="0"/>
      <w:marBottom w:val="0"/>
      <w:divBdr>
        <w:top w:val="none" w:sz="0" w:space="0" w:color="auto"/>
        <w:left w:val="none" w:sz="0" w:space="0" w:color="auto"/>
        <w:bottom w:val="none" w:sz="0" w:space="0" w:color="auto"/>
        <w:right w:val="none" w:sz="0" w:space="0" w:color="auto"/>
      </w:divBdr>
    </w:div>
    <w:div w:id="1608389928">
      <w:bodyDiv w:val="1"/>
      <w:marLeft w:val="0"/>
      <w:marRight w:val="0"/>
      <w:marTop w:val="0"/>
      <w:marBottom w:val="0"/>
      <w:divBdr>
        <w:top w:val="none" w:sz="0" w:space="0" w:color="auto"/>
        <w:left w:val="none" w:sz="0" w:space="0" w:color="auto"/>
        <w:bottom w:val="none" w:sz="0" w:space="0" w:color="auto"/>
        <w:right w:val="none" w:sz="0" w:space="0" w:color="auto"/>
      </w:divBdr>
    </w:div>
    <w:div w:id="1609236907">
      <w:bodyDiv w:val="1"/>
      <w:marLeft w:val="0"/>
      <w:marRight w:val="0"/>
      <w:marTop w:val="0"/>
      <w:marBottom w:val="0"/>
      <w:divBdr>
        <w:top w:val="none" w:sz="0" w:space="0" w:color="auto"/>
        <w:left w:val="none" w:sz="0" w:space="0" w:color="auto"/>
        <w:bottom w:val="none" w:sz="0" w:space="0" w:color="auto"/>
        <w:right w:val="none" w:sz="0" w:space="0" w:color="auto"/>
      </w:divBdr>
    </w:div>
    <w:div w:id="1773550376">
      <w:bodyDiv w:val="1"/>
      <w:marLeft w:val="0"/>
      <w:marRight w:val="0"/>
      <w:marTop w:val="0"/>
      <w:marBottom w:val="0"/>
      <w:divBdr>
        <w:top w:val="none" w:sz="0" w:space="0" w:color="auto"/>
        <w:left w:val="none" w:sz="0" w:space="0" w:color="auto"/>
        <w:bottom w:val="none" w:sz="0" w:space="0" w:color="auto"/>
        <w:right w:val="none" w:sz="0" w:space="0" w:color="auto"/>
      </w:divBdr>
    </w:div>
    <w:div w:id="1792900820">
      <w:bodyDiv w:val="1"/>
      <w:marLeft w:val="0"/>
      <w:marRight w:val="0"/>
      <w:marTop w:val="0"/>
      <w:marBottom w:val="0"/>
      <w:divBdr>
        <w:top w:val="none" w:sz="0" w:space="0" w:color="auto"/>
        <w:left w:val="none" w:sz="0" w:space="0" w:color="auto"/>
        <w:bottom w:val="none" w:sz="0" w:space="0" w:color="auto"/>
        <w:right w:val="none" w:sz="0" w:space="0" w:color="auto"/>
      </w:divBdr>
    </w:div>
    <w:div w:id="1827554593">
      <w:bodyDiv w:val="1"/>
      <w:marLeft w:val="0"/>
      <w:marRight w:val="0"/>
      <w:marTop w:val="0"/>
      <w:marBottom w:val="0"/>
      <w:divBdr>
        <w:top w:val="none" w:sz="0" w:space="0" w:color="auto"/>
        <w:left w:val="none" w:sz="0" w:space="0" w:color="auto"/>
        <w:bottom w:val="none" w:sz="0" w:space="0" w:color="auto"/>
        <w:right w:val="none" w:sz="0" w:space="0" w:color="auto"/>
      </w:divBdr>
    </w:div>
    <w:div w:id="1954633443">
      <w:bodyDiv w:val="1"/>
      <w:marLeft w:val="0"/>
      <w:marRight w:val="0"/>
      <w:marTop w:val="0"/>
      <w:marBottom w:val="0"/>
      <w:divBdr>
        <w:top w:val="none" w:sz="0" w:space="0" w:color="auto"/>
        <w:left w:val="none" w:sz="0" w:space="0" w:color="auto"/>
        <w:bottom w:val="none" w:sz="0" w:space="0" w:color="auto"/>
        <w:right w:val="none" w:sz="0" w:space="0" w:color="auto"/>
      </w:divBdr>
    </w:div>
    <w:div w:id="2033258389">
      <w:bodyDiv w:val="1"/>
      <w:marLeft w:val="0"/>
      <w:marRight w:val="0"/>
      <w:marTop w:val="0"/>
      <w:marBottom w:val="0"/>
      <w:divBdr>
        <w:top w:val="none" w:sz="0" w:space="0" w:color="auto"/>
        <w:left w:val="none" w:sz="0" w:space="0" w:color="auto"/>
        <w:bottom w:val="none" w:sz="0" w:space="0" w:color="auto"/>
        <w:right w:val="none" w:sz="0" w:space="0" w:color="auto"/>
      </w:divBdr>
    </w:div>
    <w:div w:id="2052029599">
      <w:bodyDiv w:val="1"/>
      <w:marLeft w:val="0"/>
      <w:marRight w:val="0"/>
      <w:marTop w:val="0"/>
      <w:marBottom w:val="0"/>
      <w:divBdr>
        <w:top w:val="none" w:sz="0" w:space="0" w:color="auto"/>
        <w:left w:val="none" w:sz="0" w:space="0" w:color="auto"/>
        <w:bottom w:val="none" w:sz="0" w:space="0" w:color="auto"/>
        <w:right w:val="none" w:sz="0" w:space="0" w:color="auto"/>
      </w:divBdr>
    </w:div>
    <w:div w:id="2057116367">
      <w:bodyDiv w:val="1"/>
      <w:marLeft w:val="0"/>
      <w:marRight w:val="0"/>
      <w:marTop w:val="0"/>
      <w:marBottom w:val="0"/>
      <w:divBdr>
        <w:top w:val="none" w:sz="0" w:space="0" w:color="auto"/>
        <w:left w:val="none" w:sz="0" w:space="0" w:color="auto"/>
        <w:bottom w:val="none" w:sz="0" w:space="0" w:color="auto"/>
        <w:right w:val="none" w:sz="0" w:space="0" w:color="auto"/>
      </w:divBdr>
    </w:div>
    <w:div w:id="21285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2.xml"/><Relationship Id="rId21" Type="http://schemas.openxmlformats.org/officeDocument/2006/relationships/image" Target="media/image11.png"/><Relationship Id="rId42" Type="http://schemas.openxmlformats.org/officeDocument/2006/relationships/chart" Target="charts/chart16.xml"/><Relationship Id="rId47" Type="http://schemas.openxmlformats.org/officeDocument/2006/relationships/chart" Target="charts/chart21.xml"/><Relationship Id="rId63" Type="http://schemas.openxmlformats.org/officeDocument/2006/relationships/hyperlink" Target="https://www.hipra.com/portal/ca/hipra/home" TargetMode="External"/><Relationship Id="rId68" Type="http://schemas.microsoft.com/office/2007/relationships/diagramDrawing" Target="diagrams/drawing1.xml"/><Relationship Id="rId84" Type="http://schemas.openxmlformats.org/officeDocument/2006/relationships/hyperlink" Target="https://rumiantes.com/ranking-de-las-20-principales-empresas-de-salud-animal-durante-2019/" TargetMode="External"/><Relationship Id="rId16" Type="http://schemas.openxmlformats.org/officeDocument/2006/relationships/image" Target="media/image6.png"/><Relationship Id="rId11" Type="http://schemas.openxmlformats.org/officeDocument/2006/relationships/footer" Target="footer1.xml"/><Relationship Id="rId32" Type="http://schemas.openxmlformats.org/officeDocument/2006/relationships/chart" Target="charts/chart6.xml"/><Relationship Id="rId37" Type="http://schemas.openxmlformats.org/officeDocument/2006/relationships/chart" Target="charts/chart11.xml"/><Relationship Id="rId53" Type="http://schemas.openxmlformats.org/officeDocument/2006/relationships/chart" Target="charts/chart27.xml"/><Relationship Id="rId58" Type="http://schemas.openxmlformats.org/officeDocument/2006/relationships/chart" Target="charts/chart32.xml"/><Relationship Id="rId74" Type="http://schemas.openxmlformats.org/officeDocument/2006/relationships/hyperlink" Target="https://www.pahc.com/" TargetMode="External"/><Relationship Id="rId79" Type="http://schemas.openxmlformats.org/officeDocument/2006/relationships/hyperlink" Target="https://avicultura.com/hipra-2025-de-la-referencia-al-liderazgo/" TargetMode="External"/><Relationship Id="rId5" Type="http://schemas.openxmlformats.org/officeDocument/2006/relationships/webSettings" Target="webSettings.xm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chart" Target="charts/chart3.xml"/><Relationship Id="rId30" Type="http://schemas.openxmlformats.org/officeDocument/2006/relationships/chart" Target="charts/chart5.xml"/><Relationship Id="rId35" Type="http://schemas.openxmlformats.org/officeDocument/2006/relationships/chart" Target="charts/chart9.xml"/><Relationship Id="rId43" Type="http://schemas.openxmlformats.org/officeDocument/2006/relationships/chart" Target="charts/chart17.xml"/><Relationship Id="rId48" Type="http://schemas.openxmlformats.org/officeDocument/2006/relationships/chart" Target="charts/chart22.xml"/><Relationship Id="rId56" Type="http://schemas.openxmlformats.org/officeDocument/2006/relationships/chart" Target="charts/chart30.xml"/><Relationship Id="rId64" Type="http://schemas.openxmlformats.org/officeDocument/2006/relationships/diagramData" Target="diagrams/data1.xml"/><Relationship Id="rId69" Type="http://schemas.openxmlformats.org/officeDocument/2006/relationships/hyperlink" Target="http://biblioteca.uoc.edu/es/recursos/recurso/sabi-sistema-de-analisis-de-balances-ibericos" TargetMode="External"/><Relationship Id="rId77" Type="http://schemas.openxmlformats.org/officeDocument/2006/relationships/hyperlink" Target="https://www.campogalego.es/hipra-una-salud-animal-con-menos-medicamentos-y-mas-vacunas/" TargetMode="External"/><Relationship Id="rId8" Type="http://schemas.openxmlformats.org/officeDocument/2006/relationships/image" Target="media/image1.png"/><Relationship Id="rId51" Type="http://schemas.openxmlformats.org/officeDocument/2006/relationships/chart" Target="charts/chart25.xml"/><Relationship Id="rId72" Type="http://schemas.openxmlformats.org/officeDocument/2006/relationships/hyperlink" Target="https://www.idexx.com/en/" TargetMode="External"/><Relationship Id="rId80" Type="http://schemas.openxmlformats.org/officeDocument/2006/relationships/hyperlink" Target="https://www.diaridegirona.cat/economia/2011/05/02/multinacional-hipra-vol-referent-mundial-del-sector/483767.html" TargetMode="External"/><Relationship Id="rId85" Type="http://schemas.openxmlformats.org/officeDocument/2006/relationships/hyperlink" Target="https://es.statista.com/estadisticas/635153/ingresos-mundiales-del-sector-farmaceutico/"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chart" Target="charts/chart1.xml"/><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chart" Target="charts/chart20.xml"/><Relationship Id="rId59" Type="http://schemas.openxmlformats.org/officeDocument/2006/relationships/chart" Target="charts/chart33.xml"/><Relationship Id="rId67" Type="http://schemas.openxmlformats.org/officeDocument/2006/relationships/diagramColors" Target="diagrams/colors1.xml"/><Relationship Id="rId20" Type="http://schemas.openxmlformats.org/officeDocument/2006/relationships/image" Target="media/image10.png"/><Relationship Id="rId41" Type="http://schemas.openxmlformats.org/officeDocument/2006/relationships/chart" Target="charts/chart15.xml"/><Relationship Id="rId54" Type="http://schemas.openxmlformats.org/officeDocument/2006/relationships/chart" Target="charts/chart28.xml"/><Relationship Id="rId62" Type="http://schemas.openxmlformats.org/officeDocument/2006/relationships/image" Target="media/image15.png"/><Relationship Id="rId70" Type="http://schemas.openxmlformats.org/officeDocument/2006/relationships/hyperlink" Target="https://www.zoetis.com/" TargetMode="External"/><Relationship Id="rId75" Type="http://schemas.openxmlformats.org/officeDocument/2006/relationships/hyperlink" Target="https://www.hipra.com/portal/es/hipra/about/news/detail/non-financial-information-statement-2018" TargetMode="External"/><Relationship Id="rId83" Type="http://schemas.openxmlformats.org/officeDocument/2006/relationships/hyperlink" Target="https://www.veterindustria.com/estadisticas/veterindustria/el-sector-en-cifras_108_1_ap.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chart" Target="charts/chart4.xml"/><Relationship Id="rId36" Type="http://schemas.openxmlformats.org/officeDocument/2006/relationships/chart" Target="charts/chart10.xml"/><Relationship Id="rId49" Type="http://schemas.openxmlformats.org/officeDocument/2006/relationships/chart" Target="charts/chart23.xml"/><Relationship Id="rId57" Type="http://schemas.openxmlformats.org/officeDocument/2006/relationships/chart" Target="charts/chart31.xml"/><Relationship Id="rId10" Type="http://schemas.openxmlformats.org/officeDocument/2006/relationships/header" Target="header1.xml"/><Relationship Id="rId31" Type="http://schemas.openxmlformats.org/officeDocument/2006/relationships/hyperlink" Target="https://es.statista.com/estadisticas/635153/ingresos-mundiales-del-sector-farmaceutico/" TargetMode="External"/><Relationship Id="rId44" Type="http://schemas.openxmlformats.org/officeDocument/2006/relationships/chart" Target="charts/chart18.xml"/><Relationship Id="rId52" Type="http://schemas.openxmlformats.org/officeDocument/2006/relationships/chart" Target="charts/chart26.xml"/><Relationship Id="rId60" Type="http://schemas.openxmlformats.org/officeDocument/2006/relationships/chart" Target="charts/chart34.xml"/><Relationship Id="rId65" Type="http://schemas.openxmlformats.org/officeDocument/2006/relationships/diagramLayout" Target="diagrams/layout1.xml"/><Relationship Id="rId73" Type="http://schemas.openxmlformats.org/officeDocument/2006/relationships/hyperlink" Target="https://corporate.virbac.com/home.html" TargetMode="External"/><Relationship Id="rId78" Type="http://schemas.openxmlformats.org/officeDocument/2006/relationships/hyperlink" Target="https://www.thepoultrysite.com/news/2020/03/hipra-makes-part-of-its-biotechnology-facilities-and-equipment-available-to-the-health-authorities" TargetMode="External"/><Relationship Id="rId81" Type="http://schemas.openxmlformats.org/officeDocument/2006/relationships/hyperlink" Target="https://healthforanimals.org/sector.html"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costamont@uoc.edu" TargetMode="External"/><Relationship Id="rId13" Type="http://schemas.openxmlformats.org/officeDocument/2006/relationships/hyperlink" Target="mailto:jcostamont@uoc.edu" TargetMode="External"/><Relationship Id="rId18" Type="http://schemas.openxmlformats.org/officeDocument/2006/relationships/image" Target="media/image8.png"/><Relationship Id="rId39" Type="http://schemas.openxmlformats.org/officeDocument/2006/relationships/chart" Target="charts/chart13.xml"/><Relationship Id="rId34" Type="http://schemas.openxmlformats.org/officeDocument/2006/relationships/chart" Target="charts/chart8.xml"/><Relationship Id="rId50" Type="http://schemas.openxmlformats.org/officeDocument/2006/relationships/chart" Target="charts/chart24.xml"/><Relationship Id="rId55" Type="http://schemas.openxmlformats.org/officeDocument/2006/relationships/chart" Target="charts/chart29.xml"/><Relationship Id="rId76" Type="http://schemas.openxmlformats.org/officeDocument/2006/relationships/hyperlink" Target="https://www.catedraavicola.com.ar/hipra-una-compania-enfocada-unicamente-en-salud-animal/" TargetMode="External"/><Relationship Id="rId7" Type="http://schemas.openxmlformats.org/officeDocument/2006/relationships/endnotes" Target="endnotes.xml"/><Relationship Id="rId71" Type="http://schemas.openxmlformats.org/officeDocument/2006/relationships/hyperlink" Target="https://www.neogen.com/es/" TargetMode="External"/><Relationship Id="rId2" Type="http://schemas.openxmlformats.org/officeDocument/2006/relationships/numbering" Target="numbering.xml"/><Relationship Id="rId29" Type="http://schemas.openxmlformats.org/officeDocument/2006/relationships/image" Target="media/image14.png"/><Relationship Id="rId24" Type="http://schemas.openxmlformats.org/officeDocument/2006/relationships/header" Target="header2.xml"/><Relationship Id="rId40" Type="http://schemas.openxmlformats.org/officeDocument/2006/relationships/chart" Target="charts/chart14.xml"/><Relationship Id="rId45" Type="http://schemas.openxmlformats.org/officeDocument/2006/relationships/chart" Target="charts/chart19.xml"/><Relationship Id="rId66" Type="http://schemas.openxmlformats.org/officeDocument/2006/relationships/diagramQuickStyle" Target="diagrams/quickStyle1.xml"/><Relationship Id="rId87" Type="http://schemas.openxmlformats.org/officeDocument/2006/relationships/theme" Target="theme/theme1.xml"/><Relationship Id="rId61" Type="http://schemas.openxmlformats.org/officeDocument/2006/relationships/chart" Target="charts/chart35.xml"/><Relationship Id="rId82" Type="http://schemas.openxmlformats.org/officeDocument/2006/relationships/hyperlink" Target="https://www.grandviewresearch.com/industry-analysis/animal-health-mark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_rels/footnotes.xml.rels><?xml version="1.0" encoding="UTF-8" standalone="yes"?>
<Relationships xmlns="http://schemas.openxmlformats.org/package/2006/relationships"><Relationship Id="rId1" Type="http://schemas.openxmlformats.org/officeDocument/2006/relationships/hyperlink" Target="https://avicultura.info/ranking-de-las-20-principales-empresas-de-salud-animal-durante-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taules(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Teresa/Desktop/Projecte%20final%20de%20carrera/Hipra/TAULES%20Hipra%20SA/HIPRA-gra&#768;fic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taules(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taules(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taules(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taules(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taules(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Users/Teresa/Desktop/Projecte%20final%20de%20carrera/Hipra/TAULES%20Hipra%20SA/HIPRA-gra&#768;fic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gra&#768;fics%20compete&#768;ncia.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gra&#768;fics%20compete&#768;ncia.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gra&#768;fics%20compete&#768;ncia.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gra&#768;fics%20compete&#768;ncia.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gra&#768;fics%20compete&#768;ncia.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gra&#768;fics%20compete&#768;ncia.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gra&#768;fics%20compete&#768;ncia.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gra&#768;fics%20compete&#768;ncia.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gra&#768;fics%20compete&#768;ncia.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gra&#768;fics%20compete&#768;ncia.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gra&#768;fics%20compete&#768;ncia.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gra&#768;fics%20compete&#768;ncia.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gra&#768;fics%20compete&#768;ncia.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gra&#768;fics%20compete&#768;ncia.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gra&#768;fics%20compete&#768;ncia.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gra&#768;fics%20compete&#768;ncia.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gra&#768;fics%20compete&#768;ncia.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gra&#768;fics%20compete&#768;ncia.xlsx" TargetMode="External"/><Relationship Id="rId2" Type="http://schemas.microsoft.com/office/2011/relationships/chartColorStyle" Target="colors35.xml"/><Relationship Id="rId1" Type="http://schemas.microsoft.com/office/2011/relationships/chartStyle" Target="style35.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taules(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taules(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taules(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Teresa/Desktop/Projecte%20final%20de%20carrera/Hipra/COMPETE&#768;NCIA/taules(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'Balanç % ver. % hor'!$D$33</c:f>
              <c:strCache>
                <c:ptCount val="1"/>
                <c:pt idx="0">
                  <c:v>ACTIU CORRENT</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'Balanç % ver. % hor'!$B$34:$C$38</c:f>
              <c:numCache>
                <c:formatCode>General</c:formatCode>
                <c:ptCount val="5"/>
                <c:pt idx="0">
                  <c:v>2019</c:v>
                </c:pt>
                <c:pt idx="1">
                  <c:v>2018</c:v>
                </c:pt>
                <c:pt idx="2">
                  <c:v>2017</c:v>
                </c:pt>
                <c:pt idx="3">
                  <c:v>2016</c:v>
                </c:pt>
                <c:pt idx="4">
                  <c:v>2015</c:v>
                </c:pt>
              </c:numCache>
            </c:numRef>
          </c:cat>
          <c:val>
            <c:numRef>
              <c:f>'Balanç % ver. % hor'!$D$34:$D$38</c:f>
              <c:numCache>
                <c:formatCode>0%</c:formatCode>
                <c:ptCount val="5"/>
                <c:pt idx="0">
                  <c:v>0.44</c:v>
                </c:pt>
                <c:pt idx="1">
                  <c:v>0.44</c:v>
                </c:pt>
                <c:pt idx="2">
                  <c:v>0.48</c:v>
                </c:pt>
                <c:pt idx="3">
                  <c:v>0.52</c:v>
                </c:pt>
                <c:pt idx="4">
                  <c:v>0.59</c:v>
                </c:pt>
              </c:numCache>
            </c:numRef>
          </c:val>
          <c:extLst>
            <c:ext xmlns:c16="http://schemas.microsoft.com/office/drawing/2014/chart" uri="{C3380CC4-5D6E-409C-BE32-E72D297353CC}">
              <c16:uniqueId val="{00000000-B357-5C4F-82FF-33247A4AB711}"/>
            </c:ext>
          </c:extLst>
        </c:ser>
        <c:ser>
          <c:idx val="1"/>
          <c:order val="1"/>
          <c:tx>
            <c:strRef>
              <c:f>'Balanç % ver. % hor'!$E$33</c:f>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'Balanç % ver. % hor'!$B$34:$C$38</c:f>
              <c:numCache>
                <c:formatCode>General</c:formatCode>
                <c:ptCount val="5"/>
                <c:pt idx="0">
                  <c:v>2019</c:v>
                </c:pt>
                <c:pt idx="1">
                  <c:v>2018</c:v>
                </c:pt>
                <c:pt idx="2">
                  <c:v>2017</c:v>
                </c:pt>
                <c:pt idx="3">
                  <c:v>2016</c:v>
                </c:pt>
                <c:pt idx="4">
                  <c:v>2015</c:v>
                </c:pt>
              </c:numCache>
            </c:numRef>
          </c:cat>
          <c:val>
            <c:numRef>
              <c:f>'Balanç % ver. % hor'!$E$34:$E$38</c:f>
            </c:numRef>
          </c:val>
          <c:extLst>
            <c:ext xmlns:c16="http://schemas.microsoft.com/office/drawing/2014/chart" uri="{C3380CC4-5D6E-409C-BE32-E72D297353CC}">
              <c16:uniqueId val="{00000001-B357-5C4F-82FF-33247A4AB711}"/>
            </c:ext>
          </c:extLst>
        </c:ser>
        <c:ser>
          <c:idx val="2"/>
          <c:order val="2"/>
          <c:tx>
            <c:strRef>
              <c:f>'Balanç % ver. % hor'!$F$33</c:f>
              <c:strCache>
                <c:ptCount val="1"/>
                <c:pt idx="0">
                  <c:v>ACTIU NO CORRENT</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'Balanç % ver. % hor'!$B$34:$C$38</c:f>
              <c:numCache>
                <c:formatCode>General</c:formatCode>
                <c:ptCount val="5"/>
                <c:pt idx="0">
                  <c:v>2019</c:v>
                </c:pt>
                <c:pt idx="1">
                  <c:v>2018</c:v>
                </c:pt>
                <c:pt idx="2">
                  <c:v>2017</c:v>
                </c:pt>
                <c:pt idx="3">
                  <c:v>2016</c:v>
                </c:pt>
                <c:pt idx="4">
                  <c:v>2015</c:v>
                </c:pt>
              </c:numCache>
            </c:numRef>
          </c:cat>
          <c:val>
            <c:numRef>
              <c:f>'Balanç % ver. % hor'!$F$34:$F$38</c:f>
              <c:numCache>
                <c:formatCode>0%</c:formatCode>
                <c:ptCount val="5"/>
                <c:pt idx="0">
                  <c:v>0.56999999999999995</c:v>
                </c:pt>
                <c:pt idx="1">
                  <c:v>0.56000000000000005</c:v>
                </c:pt>
                <c:pt idx="2">
                  <c:v>0.52</c:v>
                </c:pt>
                <c:pt idx="3">
                  <c:v>0.48</c:v>
                </c:pt>
                <c:pt idx="4">
                  <c:v>0.41</c:v>
                </c:pt>
              </c:numCache>
            </c:numRef>
          </c:val>
          <c:extLst>
            <c:ext xmlns:c16="http://schemas.microsoft.com/office/drawing/2014/chart" uri="{C3380CC4-5D6E-409C-BE32-E72D297353CC}">
              <c16:uniqueId val="{00000002-B357-5C4F-82FF-33247A4AB711}"/>
            </c:ext>
          </c:extLst>
        </c:ser>
        <c:dLbls>
          <c:dLblPos val="ctr"/>
          <c:showLegendKey val="0"/>
          <c:showVal val="1"/>
          <c:showCatName val="0"/>
          <c:showSerName val="0"/>
          <c:showPercent val="0"/>
          <c:showBubbleSize val="0"/>
        </c:dLbls>
        <c:gapWidth val="150"/>
        <c:overlap val="100"/>
        <c:axId val="381232848"/>
        <c:axId val="378423760"/>
      </c:barChart>
      <c:catAx>
        <c:axId val="38123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378423760"/>
        <c:crosses val="autoZero"/>
        <c:auto val="1"/>
        <c:lblAlgn val="ctr"/>
        <c:lblOffset val="100"/>
        <c:noMultiLvlLbl val="0"/>
      </c:catAx>
      <c:valAx>
        <c:axId val="378423760"/>
        <c:scaling>
          <c:orientation val="minMax"/>
          <c:max val="1"/>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81232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r>
              <a:rPr lang="es-ES_tradnl"/>
              <a:t>Phibro</a:t>
            </a:r>
          </a:p>
        </c:rich>
      </c:tx>
      <c:overlay val="0"/>
      <c:spPr>
        <a:noFill/>
        <a:ln>
          <a:noFill/>
        </a:ln>
        <a:effectLst/>
      </c:spPr>
      <c:txPr>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endParaRPr lang="es-ES"/>
        </a:p>
      </c:txPr>
    </c:title>
    <c:autoTitleDeleted val="0"/>
    <c:plotArea>
      <c:layout/>
      <c:barChart>
        <c:barDir val="col"/>
        <c:grouping val="percentStacked"/>
        <c:varyColors val="0"/>
        <c:ser>
          <c:idx val="1"/>
          <c:order val="0"/>
          <c:tx>
            <c:strRef>
              <c:f>Phibro!$I$6</c:f>
              <c:strCache>
                <c:ptCount val="1"/>
                <c:pt idx="0">
                  <c:v>Actius corrents</c:v>
                </c:pt>
              </c:strCache>
            </c:strRef>
          </c:tx>
          <c:spPr>
            <a:solidFill>
              <a:schemeClr val="accent2"/>
            </a:solidFill>
            <a:ln>
              <a:noFill/>
            </a:ln>
            <a:effectLst/>
          </c:spPr>
          <c:invertIfNegative val="0"/>
          <c:cat>
            <c:numRef>
              <c:f>Phibro!$K$4:$S$4</c:f>
              <c:numCache>
                <c:formatCode>General</c:formatCode>
                <c:ptCount val="5"/>
                <c:pt idx="0">
                  <c:v>2019</c:v>
                </c:pt>
                <c:pt idx="1">
                  <c:v>2018</c:v>
                </c:pt>
                <c:pt idx="2">
                  <c:v>2017</c:v>
                </c:pt>
                <c:pt idx="3">
                  <c:v>2016</c:v>
                </c:pt>
                <c:pt idx="4">
                  <c:v>2015</c:v>
                </c:pt>
              </c:numCache>
            </c:numRef>
          </c:cat>
          <c:val>
            <c:numRef>
              <c:f>Phibro!$K$6:$S$6</c:f>
              <c:numCache>
                <c:formatCode>0.00%</c:formatCode>
                <c:ptCount val="5"/>
                <c:pt idx="0">
                  <c:v>0.64099037138927095</c:v>
                </c:pt>
                <c:pt idx="1">
                  <c:v>0.61755952380952384</c:v>
                </c:pt>
                <c:pt idx="2">
                  <c:v>0.5842696629213483</c:v>
                </c:pt>
                <c:pt idx="3">
                  <c:v>0.56414473684210531</c:v>
                </c:pt>
                <c:pt idx="4">
                  <c:v>0.63691683569979718</c:v>
                </c:pt>
              </c:numCache>
            </c:numRef>
          </c:val>
          <c:extLst>
            <c:ext xmlns:c16="http://schemas.microsoft.com/office/drawing/2014/chart" uri="{C3380CC4-5D6E-409C-BE32-E72D297353CC}">
              <c16:uniqueId val="{00000000-E2F3-7647-A961-52B8C38E9BD1}"/>
            </c:ext>
          </c:extLst>
        </c:ser>
        <c:ser>
          <c:idx val="0"/>
          <c:order val="1"/>
          <c:tx>
            <c:strRef>
              <c:f>Phibro!$I$5</c:f>
              <c:strCache>
                <c:ptCount val="1"/>
                <c:pt idx="0">
                  <c:v>Actius no corrents</c:v>
                </c:pt>
              </c:strCache>
            </c:strRef>
          </c:tx>
          <c:spPr>
            <a:solidFill>
              <a:schemeClr val="accent1"/>
            </a:solidFill>
            <a:ln>
              <a:noFill/>
            </a:ln>
            <a:effectLst/>
          </c:spPr>
          <c:invertIfNegative val="0"/>
          <c:cat>
            <c:numRef>
              <c:f>Phibro!$K$4:$S$4</c:f>
              <c:numCache>
                <c:formatCode>General</c:formatCode>
                <c:ptCount val="5"/>
                <c:pt idx="0">
                  <c:v>2019</c:v>
                </c:pt>
                <c:pt idx="1">
                  <c:v>2018</c:v>
                </c:pt>
                <c:pt idx="2">
                  <c:v>2017</c:v>
                </c:pt>
                <c:pt idx="3">
                  <c:v>2016</c:v>
                </c:pt>
                <c:pt idx="4">
                  <c:v>2015</c:v>
                </c:pt>
              </c:numCache>
            </c:numRef>
          </c:cat>
          <c:val>
            <c:numRef>
              <c:f>Phibro!$K$5:$S$5</c:f>
              <c:numCache>
                <c:formatCode>0.00%</c:formatCode>
                <c:ptCount val="5"/>
                <c:pt idx="0">
                  <c:v>0.35900962861072905</c:v>
                </c:pt>
                <c:pt idx="1">
                  <c:v>0.38244047619047616</c:v>
                </c:pt>
                <c:pt idx="2">
                  <c:v>0.4157303370786517</c:v>
                </c:pt>
                <c:pt idx="3">
                  <c:v>0.43585526315789475</c:v>
                </c:pt>
                <c:pt idx="4">
                  <c:v>0.36308316430020282</c:v>
                </c:pt>
              </c:numCache>
            </c:numRef>
          </c:val>
          <c:extLst>
            <c:ext xmlns:c16="http://schemas.microsoft.com/office/drawing/2014/chart" uri="{C3380CC4-5D6E-409C-BE32-E72D297353CC}">
              <c16:uniqueId val="{00000001-E2F3-7647-A961-52B8C38E9BD1}"/>
            </c:ext>
          </c:extLst>
        </c:ser>
        <c:dLbls>
          <c:showLegendKey val="0"/>
          <c:showVal val="0"/>
          <c:showCatName val="0"/>
          <c:showSerName val="0"/>
          <c:showPercent val="0"/>
          <c:showBubbleSize val="0"/>
        </c:dLbls>
        <c:gapWidth val="150"/>
        <c:overlap val="100"/>
        <c:axId val="509697632"/>
        <c:axId val="509698024"/>
      </c:barChart>
      <c:catAx>
        <c:axId val="50969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509698024"/>
        <c:crosses val="autoZero"/>
        <c:auto val="1"/>
        <c:lblAlgn val="ctr"/>
        <c:lblOffset val="100"/>
        <c:noMultiLvlLbl val="0"/>
      </c:catAx>
      <c:valAx>
        <c:axId val="509698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509697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8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r>
              <a:rPr lang="es-ES_tradnl"/>
              <a:t>Hipra</a:t>
            </a:r>
          </a:p>
        </c:rich>
      </c:tx>
      <c:overlay val="0"/>
      <c:spPr>
        <a:noFill/>
        <a:ln>
          <a:noFill/>
        </a:ln>
        <a:effectLst/>
      </c:spPr>
      <c:txPr>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endParaRPr lang="es-ES"/>
        </a:p>
      </c:txPr>
    </c:title>
    <c:autoTitleDeleted val="0"/>
    <c:plotArea>
      <c:layout/>
      <c:barChart>
        <c:barDir val="col"/>
        <c:grouping val="stacked"/>
        <c:varyColors val="0"/>
        <c:ser>
          <c:idx val="0"/>
          <c:order val="0"/>
          <c:tx>
            <c:strRef>
              <c:f>'Balanç % ver. % hor'!$C$33</c:f>
              <c:strCache>
                <c:ptCount val="1"/>
              </c:strCache>
            </c:strRef>
          </c:tx>
          <c:spPr>
            <a:solidFill>
              <a:schemeClr val="accent1"/>
            </a:solidFill>
            <a:ln>
              <a:noFill/>
            </a:ln>
            <a:effectLst/>
          </c:spPr>
          <c:invertIfNegative val="0"/>
          <c:cat>
            <c:numRef>
              <c:f>'Balanç % ver. % hor'!$B$34:$B$38</c:f>
              <c:numCache>
                <c:formatCode>General</c:formatCode>
                <c:ptCount val="5"/>
                <c:pt idx="0">
                  <c:v>2019</c:v>
                </c:pt>
                <c:pt idx="1">
                  <c:v>2018</c:v>
                </c:pt>
                <c:pt idx="2">
                  <c:v>2017</c:v>
                </c:pt>
                <c:pt idx="3">
                  <c:v>2016</c:v>
                </c:pt>
                <c:pt idx="4">
                  <c:v>2015</c:v>
                </c:pt>
              </c:numCache>
            </c:numRef>
          </c:cat>
          <c:val>
            <c:numRef>
              <c:f>'Balanç % ver. % hor'!$C$34:$C$38</c:f>
            </c:numRef>
          </c:val>
          <c:extLst>
            <c:ext xmlns:c16="http://schemas.microsoft.com/office/drawing/2014/chart" uri="{C3380CC4-5D6E-409C-BE32-E72D297353CC}">
              <c16:uniqueId val="{00000000-182C-894A-8B67-7A1437D38C04}"/>
            </c:ext>
          </c:extLst>
        </c:ser>
        <c:ser>
          <c:idx val="1"/>
          <c:order val="1"/>
          <c:tx>
            <c:strRef>
              <c:f>'Balanç % ver. % hor'!$D$33</c:f>
              <c:strCache>
                <c:ptCount val="1"/>
                <c:pt idx="0">
                  <c:v>Actius corrents</c:v>
                </c:pt>
              </c:strCache>
            </c:strRef>
          </c:tx>
          <c:spPr>
            <a:solidFill>
              <a:schemeClr val="accent2"/>
            </a:solidFill>
            <a:ln>
              <a:noFill/>
            </a:ln>
            <a:effectLst/>
          </c:spPr>
          <c:invertIfNegative val="0"/>
          <c:cat>
            <c:numRef>
              <c:f>'Balanç % ver. % hor'!$B$34:$B$38</c:f>
              <c:numCache>
                <c:formatCode>General</c:formatCode>
                <c:ptCount val="5"/>
                <c:pt idx="0">
                  <c:v>2019</c:v>
                </c:pt>
                <c:pt idx="1">
                  <c:v>2018</c:v>
                </c:pt>
                <c:pt idx="2">
                  <c:v>2017</c:v>
                </c:pt>
                <c:pt idx="3">
                  <c:v>2016</c:v>
                </c:pt>
                <c:pt idx="4">
                  <c:v>2015</c:v>
                </c:pt>
              </c:numCache>
            </c:numRef>
          </c:cat>
          <c:val>
            <c:numRef>
              <c:f>'Balanç % ver. % hor'!$D$34:$D$38</c:f>
              <c:numCache>
                <c:formatCode>0%</c:formatCode>
                <c:ptCount val="5"/>
                <c:pt idx="0">
                  <c:v>0.44</c:v>
                </c:pt>
                <c:pt idx="1">
                  <c:v>0.44</c:v>
                </c:pt>
                <c:pt idx="2">
                  <c:v>0.48</c:v>
                </c:pt>
                <c:pt idx="3">
                  <c:v>0.52</c:v>
                </c:pt>
                <c:pt idx="4">
                  <c:v>0.59</c:v>
                </c:pt>
              </c:numCache>
            </c:numRef>
          </c:val>
          <c:extLst>
            <c:ext xmlns:c16="http://schemas.microsoft.com/office/drawing/2014/chart" uri="{C3380CC4-5D6E-409C-BE32-E72D297353CC}">
              <c16:uniqueId val="{00000001-182C-894A-8B67-7A1437D38C04}"/>
            </c:ext>
          </c:extLst>
        </c:ser>
        <c:ser>
          <c:idx val="3"/>
          <c:order val="3"/>
          <c:tx>
            <c:strRef>
              <c:f>'Balanç % ver. % hor'!$F$33</c:f>
              <c:strCache>
                <c:ptCount val="1"/>
                <c:pt idx="0">
                  <c:v>Actius no corrents</c:v>
                </c:pt>
              </c:strCache>
            </c:strRef>
          </c:tx>
          <c:spPr>
            <a:solidFill>
              <a:schemeClr val="accent4"/>
            </a:solidFill>
            <a:ln>
              <a:noFill/>
            </a:ln>
            <a:effectLst/>
          </c:spPr>
          <c:invertIfNegative val="0"/>
          <c:cat>
            <c:numRef>
              <c:f>'Balanç % ver. % hor'!$B$34:$B$38</c:f>
              <c:numCache>
                <c:formatCode>General</c:formatCode>
                <c:ptCount val="5"/>
                <c:pt idx="0">
                  <c:v>2019</c:v>
                </c:pt>
                <c:pt idx="1">
                  <c:v>2018</c:v>
                </c:pt>
                <c:pt idx="2">
                  <c:v>2017</c:v>
                </c:pt>
                <c:pt idx="3">
                  <c:v>2016</c:v>
                </c:pt>
                <c:pt idx="4">
                  <c:v>2015</c:v>
                </c:pt>
              </c:numCache>
            </c:numRef>
          </c:cat>
          <c:val>
            <c:numRef>
              <c:f>'Balanç % ver. % hor'!$F$34:$F$38</c:f>
              <c:numCache>
                <c:formatCode>0%</c:formatCode>
                <c:ptCount val="5"/>
                <c:pt idx="0">
                  <c:v>0.56999999999999995</c:v>
                </c:pt>
                <c:pt idx="1">
                  <c:v>0.56000000000000005</c:v>
                </c:pt>
                <c:pt idx="2">
                  <c:v>0.52</c:v>
                </c:pt>
                <c:pt idx="3">
                  <c:v>0.48</c:v>
                </c:pt>
                <c:pt idx="4">
                  <c:v>0.41</c:v>
                </c:pt>
              </c:numCache>
            </c:numRef>
          </c:val>
          <c:extLst>
            <c:ext xmlns:c16="http://schemas.microsoft.com/office/drawing/2014/chart" uri="{C3380CC4-5D6E-409C-BE32-E72D297353CC}">
              <c16:uniqueId val="{00000002-182C-894A-8B67-7A1437D38C04}"/>
            </c:ext>
          </c:extLst>
        </c:ser>
        <c:ser>
          <c:idx val="2"/>
          <c:order val="2"/>
          <c:tx>
            <c:strRef>
              <c:f>'Balanç % ver. % hor'!$E$33</c:f>
              <c:strCache>
                <c:ptCount val="1"/>
              </c:strCache>
            </c:strRef>
          </c:tx>
          <c:spPr>
            <a:solidFill>
              <a:schemeClr val="accent3"/>
            </a:solidFill>
            <a:ln>
              <a:noFill/>
            </a:ln>
            <a:effectLst/>
          </c:spPr>
          <c:invertIfNegative val="0"/>
          <c:cat>
            <c:numRef>
              <c:f>'Balanç % ver. % hor'!$B$34:$B$38</c:f>
              <c:numCache>
                <c:formatCode>General</c:formatCode>
                <c:ptCount val="5"/>
                <c:pt idx="0">
                  <c:v>2019</c:v>
                </c:pt>
                <c:pt idx="1">
                  <c:v>2018</c:v>
                </c:pt>
                <c:pt idx="2">
                  <c:v>2017</c:v>
                </c:pt>
                <c:pt idx="3">
                  <c:v>2016</c:v>
                </c:pt>
                <c:pt idx="4">
                  <c:v>2015</c:v>
                </c:pt>
              </c:numCache>
            </c:numRef>
          </c:cat>
          <c:val>
            <c:numRef>
              <c:f>'Balanç % ver. % hor'!$E$34:$E$38</c:f>
            </c:numRef>
          </c:val>
          <c:extLst>
            <c:ext xmlns:c16="http://schemas.microsoft.com/office/drawing/2014/chart" uri="{C3380CC4-5D6E-409C-BE32-E72D297353CC}">
              <c16:uniqueId val="{00000003-182C-894A-8B67-7A1437D38C04}"/>
            </c:ext>
          </c:extLst>
        </c:ser>
        <c:dLbls>
          <c:showLegendKey val="0"/>
          <c:showVal val="0"/>
          <c:showCatName val="0"/>
          <c:showSerName val="0"/>
          <c:showPercent val="0"/>
          <c:showBubbleSize val="0"/>
        </c:dLbls>
        <c:gapWidth val="150"/>
        <c:overlap val="100"/>
        <c:axId val="1354525280"/>
        <c:axId val="1354526096"/>
      </c:barChart>
      <c:catAx>
        <c:axId val="135452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354526096"/>
        <c:crosses val="autoZero"/>
        <c:auto val="1"/>
        <c:lblAlgn val="ctr"/>
        <c:lblOffset val="100"/>
        <c:noMultiLvlLbl val="0"/>
      </c:catAx>
      <c:valAx>
        <c:axId val="13545260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354525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8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r>
              <a:rPr lang="es-ES"/>
              <a:t>Zoetis</a:t>
            </a:r>
          </a:p>
        </c:rich>
      </c:tx>
      <c:overlay val="0"/>
      <c:spPr>
        <a:noFill/>
        <a:ln>
          <a:noFill/>
        </a:ln>
        <a:effectLst/>
      </c:spPr>
      <c:txPr>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endParaRPr lang="es-ES"/>
        </a:p>
      </c:txPr>
    </c:title>
    <c:autoTitleDeleted val="0"/>
    <c:plotArea>
      <c:layout/>
      <c:barChart>
        <c:barDir val="col"/>
        <c:grouping val="percentStacked"/>
        <c:varyColors val="0"/>
        <c:ser>
          <c:idx val="2"/>
          <c:order val="0"/>
          <c:tx>
            <c:strRef>
              <c:f>Zoetis!$I$10</c:f>
              <c:strCache>
                <c:ptCount val="1"/>
                <c:pt idx="0">
                  <c:v>Passiu Corrent</c:v>
                </c:pt>
              </c:strCache>
            </c:strRef>
          </c:tx>
          <c:spPr>
            <a:solidFill>
              <a:schemeClr val="accent3"/>
            </a:solidFill>
            <a:ln>
              <a:noFill/>
            </a:ln>
            <a:effectLst/>
          </c:spPr>
          <c:invertIfNegative val="0"/>
          <c:cat>
            <c:numRef>
              <c:f>Zoetis!$K$4:$S$4</c:f>
              <c:numCache>
                <c:formatCode>General</c:formatCode>
                <c:ptCount val="5"/>
                <c:pt idx="0">
                  <c:v>2019</c:v>
                </c:pt>
                <c:pt idx="1">
                  <c:v>2018</c:v>
                </c:pt>
                <c:pt idx="2">
                  <c:v>2017</c:v>
                </c:pt>
                <c:pt idx="3">
                  <c:v>2016</c:v>
                </c:pt>
                <c:pt idx="4">
                  <c:v>2015</c:v>
                </c:pt>
              </c:numCache>
            </c:numRef>
          </c:cat>
          <c:val>
            <c:numRef>
              <c:f>Zoetis!$J$10:$S$10</c:f>
              <c:numCache>
                <c:formatCode>0.00%</c:formatCode>
                <c:ptCount val="5"/>
                <c:pt idx="0">
                  <c:v>0.15643135556517973</c:v>
                </c:pt>
                <c:pt idx="1">
                  <c:v>0.11348241625684327</c:v>
                </c:pt>
                <c:pt idx="2">
                  <c:v>0.13966551768160348</c:v>
                </c:pt>
                <c:pt idx="3">
                  <c:v>0.15767927724449463</c:v>
                </c:pt>
                <c:pt idx="4">
                  <c:v>0.24280845262440354</c:v>
                </c:pt>
              </c:numCache>
            </c:numRef>
          </c:val>
          <c:extLst>
            <c:ext xmlns:c16="http://schemas.microsoft.com/office/drawing/2014/chart" uri="{C3380CC4-5D6E-409C-BE32-E72D297353CC}">
              <c16:uniqueId val="{00000000-45B3-2941-AAA1-09F7F77226E8}"/>
            </c:ext>
          </c:extLst>
        </c:ser>
        <c:ser>
          <c:idx val="1"/>
          <c:order val="1"/>
          <c:tx>
            <c:strRef>
              <c:f>Zoetis!$I$9</c:f>
              <c:strCache>
                <c:ptCount val="1"/>
                <c:pt idx="0">
                  <c:v>Passiu no corrent</c:v>
                </c:pt>
              </c:strCache>
            </c:strRef>
          </c:tx>
          <c:spPr>
            <a:solidFill>
              <a:schemeClr val="accent2"/>
            </a:solidFill>
            <a:ln>
              <a:noFill/>
            </a:ln>
            <a:effectLst/>
          </c:spPr>
          <c:invertIfNegative val="0"/>
          <c:cat>
            <c:numRef>
              <c:f>Zoetis!$K$4:$S$4</c:f>
              <c:numCache>
                <c:formatCode>General</c:formatCode>
                <c:ptCount val="5"/>
                <c:pt idx="0">
                  <c:v>2019</c:v>
                </c:pt>
                <c:pt idx="1">
                  <c:v>2018</c:v>
                </c:pt>
                <c:pt idx="2">
                  <c:v>2017</c:v>
                </c:pt>
                <c:pt idx="3">
                  <c:v>2016</c:v>
                </c:pt>
                <c:pt idx="4">
                  <c:v>2015</c:v>
                </c:pt>
              </c:numCache>
            </c:numRef>
          </c:cat>
          <c:val>
            <c:numRef>
              <c:f>Zoetis!$J$9:$S$9</c:f>
              <c:numCache>
                <c:formatCode>0.00%</c:formatCode>
                <c:ptCount val="5"/>
                <c:pt idx="0">
                  <c:v>0.60900822867042015</c:v>
                </c:pt>
                <c:pt idx="1">
                  <c:v>0.6837709937830565</c:v>
                </c:pt>
                <c:pt idx="2">
                  <c:v>0.63232477977786283</c:v>
                </c:pt>
                <c:pt idx="3">
                  <c:v>0.6307171089779785</c:v>
                </c:pt>
                <c:pt idx="4">
                  <c:v>0.60845262440354464</c:v>
                </c:pt>
              </c:numCache>
            </c:numRef>
          </c:val>
          <c:extLst>
            <c:ext xmlns:c16="http://schemas.microsoft.com/office/drawing/2014/chart" uri="{C3380CC4-5D6E-409C-BE32-E72D297353CC}">
              <c16:uniqueId val="{00000001-45B3-2941-AAA1-09F7F77226E8}"/>
            </c:ext>
          </c:extLst>
        </c:ser>
        <c:ser>
          <c:idx val="0"/>
          <c:order val="2"/>
          <c:tx>
            <c:strRef>
              <c:f>Zoetis!$I$8</c:f>
              <c:strCache>
                <c:ptCount val="1"/>
                <c:pt idx="0">
                  <c:v>Patrimoni net</c:v>
                </c:pt>
              </c:strCache>
            </c:strRef>
          </c:tx>
          <c:spPr>
            <a:solidFill>
              <a:schemeClr val="accent1"/>
            </a:solidFill>
            <a:ln>
              <a:noFill/>
            </a:ln>
            <a:effectLst/>
          </c:spPr>
          <c:invertIfNegative val="0"/>
          <c:cat>
            <c:numRef>
              <c:f>Zoetis!$K$4:$S$4</c:f>
              <c:numCache>
                <c:formatCode>General</c:formatCode>
                <c:ptCount val="5"/>
                <c:pt idx="0">
                  <c:v>2019</c:v>
                </c:pt>
                <c:pt idx="1">
                  <c:v>2018</c:v>
                </c:pt>
                <c:pt idx="2">
                  <c:v>2017</c:v>
                </c:pt>
                <c:pt idx="3">
                  <c:v>2016</c:v>
                </c:pt>
                <c:pt idx="4">
                  <c:v>2015</c:v>
                </c:pt>
              </c:numCache>
            </c:numRef>
          </c:cat>
          <c:val>
            <c:numRef>
              <c:f>Zoetis!$J$8:$S$8</c:f>
              <c:numCache>
                <c:formatCode>0.00%</c:formatCode>
                <c:ptCount val="5"/>
                <c:pt idx="0">
                  <c:v>0.23456041576440018</c:v>
                </c:pt>
                <c:pt idx="1">
                  <c:v>0.20274658996010023</c:v>
                </c:pt>
                <c:pt idx="2">
                  <c:v>0.22800970254053363</c:v>
                </c:pt>
                <c:pt idx="3">
                  <c:v>0.21160361377752682</c:v>
                </c:pt>
                <c:pt idx="4">
                  <c:v>0.1487389229720518</c:v>
                </c:pt>
              </c:numCache>
            </c:numRef>
          </c:val>
          <c:extLst>
            <c:ext xmlns:c16="http://schemas.microsoft.com/office/drawing/2014/chart" uri="{C3380CC4-5D6E-409C-BE32-E72D297353CC}">
              <c16:uniqueId val="{00000002-45B3-2941-AAA1-09F7F77226E8}"/>
            </c:ext>
          </c:extLst>
        </c:ser>
        <c:dLbls>
          <c:showLegendKey val="0"/>
          <c:showVal val="0"/>
          <c:showCatName val="0"/>
          <c:showSerName val="0"/>
          <c:showPercent val="0"/>
          <c:showBubbleSize val="0"/>
        </c:dLbls>
        <c:gapWidth val="150"/>
        <c:overlap val="100"/>
        <c:axId val="331182784"/>
        <c:axId val="509703904"/>
      </c:barChart>
      <c:catAx>
        <c:axId val="33118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509703904"/>
        <c:crosses val="autoZero"/>
        <c:auto val="1"/>
        <c:lblAlgn val="ctr"/>
        <c:lblOffset val="100"/>
        <c:noMultiLvlLbl val="0"/>
      </c:catAx>
      <c:valAx>
        <c:axId val="509703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331182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8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r>
              <a:rPr lang="es-ES"/>
              <a:t>Idexx</a:t>
            </a:r>
          </a:p>
        </c:rich>
      </c:tx>
      <c:overlay val="0"/>
      <c:spPr>
        <a:noFill/>
        <a:ln>
          <a:noFill/>
        </a:ln>
        <a:effectLst/>
      </c:spPr>
      <c:txPr>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endParaRPr lang="es-ES"/>
        </a:p>
      </c:txPr>
    </c:title>
    <c:autoTitleDeleted val="0"/>
    <c:plotArea>
      <c:layout/>
      <c:barChart>
        <c:barDir val="col"/>
        <c:grouping val="percentStacked"/>
        <c:varyColors val="0"/>
        <c:ser>
          <c:idx val="2"/>
          <c:order val="0"/>
          <c:tx>
            <c:strRef>
              <c:f>IDEXX!$I$10</c:f>
              <c:strCache>
                <c:ptCount val="1"/>
                <c:pt idx="0">
                  <c:v>Passiu Corrent</c:v>
                </c:pt>
              </c:strCache>
            </c:strRef>
          </c:tx>
          <c:spPr>
            <a:solidFill>
              <a:schemeClr val="accent3"/>
            </a:solidFill>
            <a:ln>
              <a:noFill/>
            </a:ln>
            <a:effectLst/>
          </c:spPr>
          <c:invertIfNegative val="0"/>
          <c:cat>
            <c:numRef>
              <c:f>IDEXX!$K$4:$S$4</c:f>
              <c:numCache>
                <c:formatCode>General</c:formatCode>
                <c:ptCount val="5"/>
                <c:pt idx="0">
                  <c:v>2019</c:v>
                </c:pt>
                <c:pt idx="1">
                  <c:v>2018</c:v>
                </c:pt>
                <c:pt idx="2">
                  <c:v>2017</c:v>
                </c:pt>
                <c:pt idx="3">
                  <c:v>2016</c:v>
                </c:pt>
                <c:pt idx="4">
                  <c:v>2015</c:v>
                </c:pt>
              </c:numCache>
            </c:numRef>
          </c:cat>
          <c:val>
            <c:numRef>
              <c:f>IDEXX!$J$10:$S$10</c:f>
              <c:numCache>
                <c:formatCode>0.00%</c:formatCode>
                <c:ptCount val="5"/>
                <c:pt idx="0">
                  <c:v>0.39552645935624658</c:v>
                </c:pt>
                <c:pt idx="1">
                  <c:v>0.50097592713077421</c:v>
                </c:pt>
                <c:pt idx="2">
                  <c:v>0.58669001751313488</c:v>
                </c:pt>
                <c:pt idx="3">
                  <c:v>0.61071195297191383</c:v>
                </c:pt>
                <c:pt idx="4">
                  <c:v>0.58101694915254243</c:v>
                </c:pt>
              </c:numCache>
            </c:numRef>
          </c:val>
          <c:extLst>
            <c:ext xmlns:c16="http://schemas.microsoft.com/office/drawing/2014/chart" uri="{C3380CC4-5D6E-409C-BE32-E72D297353CC}">
              <c16:uniqueId val="{00000000-E5E0-B948-BEAE-9ED06CAE941F}"/>
            </c:ext>
          </c:extLst>
        </c:ser>
        <c:ser>
          <c:idx val="1"/>
          <c:order val="1"/>
          <c:tx>
            <c:strRef>
              <c:f>IDEXX!$I$9</c:f>
              <c:strCache>
                <c:ptCount val="1"/>
                <c:pt idx="0">
                  <c:v>Passiu no corrent</c:v>
                </c:pt>
              </c:strCache>
            </c:strRef>
          </c:tx>
          <c:spPr>
            <a:solidFill>
              <a:schemeClr val="accent2"/>
            </a:solidFill>
            <a:ln>
              <a:noFill/>
            </a:ln>
            <a:effectLst/>
          </c:spPr>
          <c:invertIfNegative val="0"/>
          <c:cat>
            <c:numRef>
              <c:f>IDEXX!$K$4:$S$4</c:f>
              <c:numCache>
                <c:formatCode>General</c:formatCode>
                <c:ptCount val="5"/>
                <c:pt idx="0">
                  <c:v>2019</c:v>
                </c:pt>
                <c:pt idx="1">
                  <c:v>2018</c:v>
                </c:pt>
                <c:pt idx="2">
                  <c:v>2017</c:v>
                </c:pt>
                <c:pt idx="3">
                  <c:v>2016</c:v>
                </c:pt>
                <c:pt idx="4">
                  <c:v>2015</c:v>
                </c:pt>
              </c:numCache>
            </c:numRef>
          </c:cat>
          <c:val>
            <c:numRef>
              <c:f>IDEXX!$J$9:$S$9</c:f>
              <c:numCache>
                <c:formatCode>0.00%</c:formatCode>
                <c:ptCount val="5"/>
                <c:pt idx="0">
                  <c:v>0.50681942171303873</c:v>
                </c:pt>
                <c:pt idx="1">
                  <c:v>0.50487963565387117</c:v>
                </c:pt>
                <c:pt idx="2">
                  <c:v>0.44541739638061878</c:v>
                </c:pt>
                <c:pt idx="3">
                  <c:v>0.45983017635532331</c:v>
                </c:pt>
                <c:pt idx="4">
                  <c:v>0.4759322033898305</c:v>
                </c:pt>
              </c:numCache>
            </c:numRef>
          </c:val>
          <c:extLst>
            <c:ext xmlns:c16="http://schemas.microsoft.com/office/drawing/2014/chart" uri="{C3380CC4-5D6E-409C-BE32-E72D297353CC}">
              <c16:uniqueId val="{00000001-E5E0-B948-BEAE-9ED06CAE941F}"/>
            </c:ext>
          </c:extLst>
        </c:ser>
        <c:ser>
          <c:idx val="0"/>
          <c:order val="2"/>
          <c:tx>
            <c:strRef>
              <c:f>IDEXX!$I$8</c:f>
              <c:strCache>
                <c:ptCount val="1"/>
                <c:pt idx="0">
                  <c:v>Patrimoni net</c:v>
                </c:pt>
              </c:strCache>
            </c:strRef>
          </c:tx>
          <c:spPr>
            <a:solidFill>
              <a:schemeClr val="accent1"/>
            </a:solidFill>
            <a:ln>
              <a:noFill/>
            </a:ln>
            <a:effectLst/>
          </c:spPr>
          <c:invertIfNegative val="0"/>
          <c:cat>
            <c:numRef>
              <c:f>IDEXX!$K$4:$S$4</c:f>
              <c:numCache>
                <c:formatCode>General</c:formatCode>
                <c:ptCount val="5"/>
                <c:pt idx="0">
                  <c:v>2019</c:v>
                </c:pt>
                <c:pt idx="1">
                  <c:v>2018</c:v>
                </c:pt>
                <c:pt idx="2">
                  <c:v>2017</c:v>
                </c:pt>
                <c:pt idx="3">
                  <c:v>2016</c:v>
                </c:pt>
                <c:pt idx="4">
                  <c:v>2015</c:v>
                </c:pt>
              </c:numCache>
            </c:numRef>
          </c:cat>
          <c:val>
            <c:numRef>
              <c:f>IDEXX!$J$8:$S$8</c:f>
              <c:numCache>
                <c:formatCode>0.00%</c:formatCode>
                <c:ptCount val="5"/>
                <c:pt idx="0">
                  <c:v>9.765411893071467E-2</c:v>
                </c:pt>
                <c:pt idx="1">
                  <c:v>-5.8555627846454128E-3</c:v>
                </c:pt>
                <c:pt idx="2">
                  <c:v>-3.2107413893753649E-2</c:v>
                </c:pt>
                <c:pt idx="3">
                  <c:v>-7.0542129327237094E-2</c:v>
                </c:pt>
                <c:pt idx="4">
                  <c:v>-5.6949152542372879E-2</c:v>
                </c:pt>
              </c:numCache>
            </c:numRef>
          </c:val>
          <c:extLst>
            <c:ext xmlns:c16="http://schemas.microsoft.com/office/drawing/2014/chart" uri="{C3380CC4-5D6E-409C-BE32-E72D297353CC}">
              <c16:uniqueId val="{00000002-E5E0-B948-BEAE-9ED06CAE941F}"/>
            </c:ext>
          </c:extLst>
        </c:ser>
        <c:dLbls>
          <c:showLegendKey val="0"/>
          <c:showVal val="0"/>
          <c:showCatName val="0"/>
          <c:showSerName val="0"/>
          <c:showPercent val="0"/>
          <c:showBubbleSize val="0"/>
        </c:dLbls>
        <c:gapWidth val="150"/>
        <c:overlap val="100"/>
        <c:axId val="382057728"/>
        <c:axId val="382055376"/>
      </c:barChart>
      <c:catAx>
        <c:axId val="38205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382055376"/>
        <c:crosses val="autoZero"/>
        <c:auto val="1"/>
        <c:lblAlgn val="ctr"/>
        <c:lblOffset val="100"/>
        <c:noMultiLvlLbl val="0"/>
      </c:catAx>
      <c:valAx>
        <c:axId val="382055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38205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8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r>
              <a:rPr lang="es-ES"/>
              <a:t>Virbac</a:t>
            </a:r>
          </a:p>
        </c:rich>
      </c:tx>
      <c:overlay val="0"/>
      <c:spPr>
        <a:noFill/>
        <a:ln>
          <a:noFill/>
        </a:ln>
        <a:effectLst/>
      </c:spPr>
      <c:txPr>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endParaRPr lang="es-ES"/>
        </a:p>
      </c:txPr>
    </c:title>
    <c:autoTitleDeleted val="0"/>
    <c:plotArea>
      <c:layout/>
      <c:barChart>
        <c:barDir val="col"/>
        <c:grouping val="percentStacked"/>
        <c:varyColors val="0"/>
        <c:ser>
          <c:idx val="2"/>
          <c:order val="0"/>
          <c:tx>
            <c:strRef>
              <c:f>Virbac!$I$10</c:f>
              <c:strCache>
                <c:ptCount val="1"/>
                <c:pt idx="0">
                  <c:v>Passiu Corrent</c:v>
                </c:pt>
              </c:strCache>
            </c:strRef>
          </c:tx>
          <c:spPr>
            <a:solidFill>
              <a:schemeClr val="accent3"/>
            </a:solidFill>
            <a:ln>
              <a:noFill/>
            </a:ln>
            <a:effectLst/>
          </c:spPr>
          <c:invertIfNegative val="0"/>
          <c:cat>
            <c:numRef>
              <c:f>Virbac!$K$4:$S$4</c:f>
              <c:numCache>
                <c:formatCode>General</c:formatCode>
                <c:ptCount val="5"/>
                <c:pt idx="0">
                  <c:v>2019</c:v>
                </c:pt>
                <c:pt idx="1">
                  <c:v>2018</c:v>
                </c:pt>
                <c:pt idx="2">
                  <c:v>2017</c:v>
                </c:pt>
                <c:pt idx="3">
                  <c:v>2016</c:v>
                </c:pt>
                <c:pt idx="4">
                  <c:v>2015</c:v>
                </c:pt>
              </c:numCache>
            </c:numRef>
          </c:cat>
          <c:val>
            <c:numRef>
              <c:f>Virbac!$J$10:$S$10</c:f>
              <c:numCache>
                <c:formatCode>0.00%</c:formatCode>
                <c:ptCount val="5"/>
                <c:pt idx="0">
                  <c:v>0.28117913832199548</c:v>
                </c:pt>
                <c:pt idx="1">
                  <c:v>0.26001571091908876</c:v>
                </c:pt>
                <c:pt idx="2">
                  <c:v>0.25743348982785602</c:v>
                </c:pt>
                <c:pt idx="3">
                  <c:v>0.27715091678420312</c:v>
                </c:pt>
                <c:pt idx="4">
                  <c:v>0.25436757512229208</c:v>
                </c:pt>
              </c:numCache>
            </c:numRef>
          </c:val>
          <c:extLst>
            <c:ext xmlns:c16="http://schemas.microsoft.com/office/drawing/2014/chart" uri="{C3380CC4-5D6E-409C-BE32-E72D297353CC}">
              <c16:uniqueId val="{00000000-0CE8-9C47-AD5A-7EA14FFDA407}"/>
            </c:ext>
          </c:extLst>
        </c:ser>
        <c:ser>
          <c:idx val="1"/>
          <c:order val="1"/>
          <c:tx>
            <c:strRef>
              <c:f>Virbac!$I$9</c:f>
              <c:strCache>
                <c:ptCount val="1"/>
                <c:pt idx="0">
                  <c:v>Passiu no corrent</c:v>
                </c:pt>
              </c:strCache>
            </c:strRef>
          </c:tx>
          <c:spPr>
            <a:solidFill>
              <a:schemeClr val="accent2"/>
            </a:solidFill>
            <a:ln>
              <a:noFill/>
            </a:ln>
            <a:effectLst/>
          </c:spPr>
          <c:invertIfNegative val="0"/>
          <c:cat>
            <c:numRef>
              <c:f>Virbac!$K$4:$S$4</c:f>
              <c:numCache>
                <c:formatCode>General</c:formatCode>
                <c:ptCount val="5"/>
                <c:pt idx="0">
                  <c:v>2019</c:v>
                </c:pt>
                <c:pt idx="1">
                  <c:v>2018</c:v>
                </c:pt>
                <c:pt idx="2">
                  <c:v>2017</c:v>
                </c:pt>
                <c:pt idx="3">
                  <c:v>2016</c:v>
                </c:pt>
                <c:pt idx="4">
                  <c:v>2015</c:v>
                </c:pt>
              </c:numCache>
            </c:numRef>
          </c:cat>
          <c:val>
            <c:numRef>
              <c:f>Virbac!$J$9:$S$9</c:f>
              <c:numCache>
                <c:formatCode>0.00%</c:formatCode>
                <c:ptCount val="5"/>
                <c:pt idx="0">
                  <c:v>0.30158730158730157</c:v>
                </c:pt>
                <c:pt idx="1">
                  <c:v>0.35035349567949725</c:v>
                </c:pt>
                <c:pt idx="2">
                  <c:v>0.36776212832550859</c:v>
                </c:pt>
                <c:pt idx="3">
                  <c:v>0.35472496473906912</c:v>
                </c:pt>
                <c:pt idx="4">
                  <c:v>0.40810621942697417</c:v>
                </c:pt>
              </c:numCache>
            </c:numRef>
          </c:val>
          <c:extLst>
            <c:ext xmlns:c16="http://schemas.microsoft.com/office/drawing/2014/chart" uri="{C3380CC4-5D6E-409C-BE32-E72D297353CC}">
              <c16:uniqueId val="{00000001-0CE8-9C47-AD5A-7EA14FFDA407}"/>
            </c:ext>
          </c:extLst>
        </c:ser>
        <c:ser>
          <c:idx val="0"/>
          <c:order val="2"/>
          <c:tx>
            <c:strRef>
              <c:f>Virbac!$I$8</c:f>
              <c:strCache>
                <c:ptCount val="1"/>
                <c:pt idx="0">
                  <c:v>Patrimoni net</c:v>
                </c:pt>
              </c:strCache>
            </c:strRef>
          </c:tx>
          <c:spPr>
            <a:solidFill>
              <a:schemeClr val="accent1"/>
            </a:solidFill>
            <a:ln>
              <a:noFill/>
            </a:ln>
            <a:effectLst/>
          </c:spPr>
          <c:invertIfNegative val="0"/>
          <c:cat>
            <c:numRef>
              <c:f>Virbac!$K$4:$S$4</c:f>
              <c:numCache>
                <c:formatCode>General</c:formatCode>
                <c:ptCount val="5"/>
                <c:pt idx="0">
                  <c:v>2019</c:v>
                </c:pt>
                <c:pt idx="1">
                  <c:v>2018</c:v>
                </c:pt>
                <c:pt idx="2">
                  <c:v>2017</c:v>
                </c:pt>
                <c:pt idx="3">
                  <c:v>2016</c:v>
                </c:pt>
                <c:pt idx="4">
                  <c:v>2015</c:v>
                </c:pt>
              </c:numCache>
            </c:numRef>
          </c:cat>
          <c:val>
            <c:numRef>
              <c:f>Virbac!$J$8:$S$8</c:f>
              <c:numCache>
                <c:formatCode>0.00%</c:formatCode>
                <c:ptCount val="5"/>
                <c:pt idx="0">
                  <c:v>0.41723356009070295</c:v>
                </c:pt>
                <c:pt idx="1">
                  <c:v>0.38963079340141399</c:v>
                </c:pt>
                <c:pt idx="2">
                  <c:v>0.37480438184663539</c:v>
                </c:pt>
                <c:pt idx="3">
                  <c:v>0.36741889985895626</c:v>
                </c:pt>
                <c:pt idx="4">
                  <c:v>0.33682739343116702</c:v>
                </c:pt>
              </c:numCache>
            </c:numRef>
          </c:val>
          <c:extLst>
            <c:ext xmlns:c16="http://schemas.microsoft.com/office/drawing/2014/chart" uri="{C3380CC4-5D6E-409C-BE32-E72D297353CC}">
              <c16:uniqueId val="{00000002-0CE8-9C47-AD5A-7EA14FFDA407}"/>
            </c:ext>
          </c:extLst>
        </c:ser>
        <c:dLbls>
          <c:showLegendKey val="0"/>
          <c:showVal val="0"/>
          <c:showCatName val="0"/>
          <c:showSerName val="0"/>
          <c:showPercent val="0"/>
          <c:showBubbleSize val="0"/>
        </c:dLbls>
        <c:gapWidth val="150"/>
        <c:overlap val="100"/>
        <c:axId val="382059688"/>
        <c:axId val="382060080"/>
      </c:barChart>
      <c:catAx>
        <c:axId val="382059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382060080"/>
        <c:crosses val="autoZero"/>
        <c:auto val="1"/>
        <c:lblAlgn val="ctr"/>
        <c:lblOffset val="100"/>
        <c:noMultiLvlLbl val="0"/>
      </c:catAx>
      <c:valAx>
        <c:axId val="382060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382059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8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r>
              <a:rPr lang="es-ES_tradnl"/>
              <a:t>Neogen</a:t>
            </a:r>
          </a:p>
        </c:rich>
      </c:tx>
      <c:overlay val="0"/>
      <c:spPr>
        <a:noFill/>
        <a:ln>
          <a:noFill/>
        </a:ln>
        <a:effectLst/>
      </c:spPr>
      <c:txPr>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endParaRPr lang="es-ES"/>
        </a:p>
      </c:txPr>
    </c:title>
    <c:autoTitleDeleted val="0"/>
    <c:plotArea>
      <c:layout/>
      <c:barChart>
        <c:barDir val="col"/>
        <c:grouping val="percentStacked"/>
        <c:varyColors val="0"/>
        <c:ser>
          <c:idx val="2"/>
          <c:order val="0"/>
          <c:tx>
            <c:strRef>
              <c:f>Neogen!$I$10</c:f>
              <c:strCache>
                <c:ptCount val="1"/>
                <c:pt idx="0">
                  <c:v>Passiu Corrent</c:v>
                </c:pt>
              </c:strCache>
            </c:strRef>
          </c:tx>
          <c:spPr>
            <a:solidFill>
              <a:schemeClr val="accent3"/>
            </a:solidFill>
            <a:ln>
              <a:noFill/>
            </a:ln>
            <a:effectLst/>
          </c:spPr>
          <c:invertIfNegative val="0"/>
          <c:cat>
            <c:numRef>
              <c:f>Neogen!$K$4:$S$4</c:f>
              <c:numCache>
                <c:formatCode>General</c:formatCode>
                <c:ptCount val="5"/>
                <c:pt idx="0">
                  <c:v>2019</c:v>
                </c:pt>
                <c:pt idx="1">
                  <c:v>2018</c:v>
                </c:pt>
                <c:pt idx="2">
                  <c:v>2017</c:v>
                </c:pt>
                <c:pt idx="3">
                  <c:v>2016</c:v>
                </c:pt>
                <c:pt idx="4">
                  <c:v>2015</c:v>
                </c:pt>
              </c:numCache>
            </c:numRef>
          </c:cat>
          <c:val>
            <c:numRef>
              <c:f>Neogen!$J$10:$S$10</c:f>
              <c:numCache>
                <c:formatCode>0.00%</c:formatCode>
                <c:ptCount val="5"/>
                <c:pt idx="0">
                  <c:v>5.459770114942529E-2</c:v>
                </c:pt>
                <c:pt idx="1">
                  <c:v>6.3106796116504854E-2</c:v>
                </c:pt>
                <c:pt idx="2">
                  <c:v>6.8181818181818177E-2</c:v>
                </c:pt>
                <c:pt idx="3">
                  <c:v>6.4444444444444443E-2</c:v>
                </c:pt>
                <c:pt idx="4">
                  <c:v>6.3775510204081634E-2</c:v>
                </c:pt>
              </c:numCache>
            </c:numRef>
          </c:val>
          <c:extLst>
            <c:ext xmlns:c16="http://schemas.microsoft.com/office/drawing/2014/chart" uri="{C3380CC4-5D6E-409C-BE32-E72D297353CC}">
              <c16:uniqueId val="{00000000-7AC1-8E48-A7E8-EAD4876888DF}"/>
            </c:ext>
          </c:extLst>
        </c:ser>
        <c:ser>
          <c:idx val="1"/>
          <c:order val="1"/>
          <c:tx>
            <c:strRef>
              <c:f>Neogen!$I$9</c:f>
              <c:strCache>
                <c:ptCount val="1"/>
                <c:pt idx="0">
                  <c:v>Passiu no corrent</c:v>
                </c:pt>
              </c:strCache>
            </c:strRef>
          </c:tx>
          <c:spPr>
            <a:solidFill>
              <a:schemeClr val="accent2"/>
            </a:solidFill>
            <a:ln>
              <a:noFill/>
            </a:ln>
            <a:effectLst/>
          </c:spPr>
          <c:invertIfNegative val="0"/>
          <c:cat>
            <c:numRef>
              <c:f>Neogen!$K$4:$S$4</c:f>
              <c:numCache>
                <c:formatCode>General</c:formatCode>
                <c:ptCount val="5"/>
                <c:pt idx="0">
                  <c:v>2019</c:v>
                </c:pt>
                <c:pt idx="1">
                  <c:v>2018</c:v>
                </c:pt>
                <c:pt idx="2">
                  <c:v>2017</c:v>
                </c:pt>
                <c:pt idx="3">
                  <c:v>2016</c:v>
                </c:pt>
                <c:pt idx="4">
                  <c:v>2015</c:v>
                </c:pt>
              </c:numCache>
            </c:numRef>
          </c:cat>
          <c:val>
            <c:numRef>
              <c:f>Neogen!$J$9:$S$9</c:f>
              <c:numCache>
                <c:formatCode>0.00%</c:formatCode>
                <c:ptCount val="5"/>
                <c:pt idx="0">
                  <c:v>2.8735632183908046E-2</c:v>
                </c:pt>
                <c:pt idx="1">
                  <c:v>3.0744336569579287E-2</c:v>
                </c:pt>
                <c:pt idx="2">
                  <c:v>3.9772727272727272E-2</c:v>
                </c:pt>
                <c:pt idx="3">
                  <c:v>3.7777777777777778E-2</c:v>
                </c:pt>
                <c:pt idx="4">
                  <c:v>4.0816326530612242E-2</c:v>
                </c:pt>
              </c:numCache>
            </c:numRef>
          </c:val>
          <c:extLst>
            <c:ext xmlns:c16="http://schemas.microsoft.com/office/drawing/2014/chart" uri="{C3380CC4-5D6E-409C-BE32-E72D297353CC}">
              <c16:uniqueId val="{00000001-7AC1-8E48-A7E8-EAD4876888DF}"/>
            </c:ext>
          </c:extLst>
        </c:ser>
        <c:ser>
          <c:idx val="0"/>
          <c:order val="2"/>
          <c:tx>
            <c:strRef>
              <c:f>Neogen!$I$8</c:f>
              <c:strCache>
                <c:ptCount val="1"/>
                <c:pt idx="0">
                  <c:v>Patrimoni net</c:v>
                </c:pt>
              </c:strCache>
            </c:strRef>
          </c:tx>
          <c:spPr>
            <a:solidFill>
              <a:schemeClr val="accent1"/>
            </a:solidFill>
            <a:ln>
              <a:noFill/>
            </a:ln>
            <a:effectLst/>
          </c:spPr>
          <c:invertIfNegative val="0"/>
          <c:cat>
            <c:numRef>
              <c:f>Neogen!$K$4:$S$4</c:f>
              <c:numCache>
                <c:formatCode>General</c:formatCode>
                <c:ptCount val="5"/>
                <c:pt idx="0">
                  <c:v>2019</c:v>
                </c:pt>
                <c:pt idx="1">
                  <c:v>2018</c:v>
                </c:pt>
                <c:pt idx="2">
                  <c:v>2017</c:v>
                </c:pt>
                <c:pt idx="3">
                  <c:v>2016</c:v>
                </c:pt>
                <c:pt idx="4">
                  <c:v>2015</c:v>
                </c:pt>
              </c:numCache>
            </c:numRef>
          </c:cat>
          <c:val>
            <c:numRef>
              <c:f>Neogen!$J$8:$S$8</c:f>
              <c:numCache>
                <c:formatCode>0.00%</c:formatCode>
                <c:ptCount val="5"/>
                <c:pt idx="0">
                  <c:v>0.91666666666666663</c:v>
                </c:pt>
                <c:pt idx="1">
                  <c:v>0.90614886731391586</c:v>
                </c:pt>
                <c:pt idx="2">
                  <c:v>0.89393939393939392</c:v>
                </c:pt>
                <c:pt idx="3">
                  <c:v>0.89777777777777779</c:v>
                </c:pt>
                <c:pt idx="4">
                  <c:v>0.89540816326530615</c:v>
                </c:pt>
              </c:numCache>
            </c:numRef>
          </c:val>
          <c:extLst>
            <c:ext xmlns:c16="http://schemas.microsoft.com/office/drawing/2014/chart" uri="{C3380CC4-5D6E-409C-BE32-E72D297353CC}">
              <c16:uniqueId val="{00000002-7AC1-8E48-A7E8-EAD4876888DF}"/>
            </c:ext>
          </c:extLst>
        </c:ser>
        <c:dLbls>
          <c:showLegendKey val="0"/>
          <c:showVal val="0"/>
          <c:showCatName val="0"/>
          <c:showSerName val="0"/>
          <c:showPercent val="0"/>
          <c:showBubbleSize val="0"/>
        </c:dLbls>
        <c:gapWidth val="150"/>
        <c:overlap val="100"/>
        <c:axId val="515195840"/>
        <c:axId val="509702336"/>
      </c:barChart>
      <c:catAx>
        <c:axId val="51519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509702336"/>
        <c:crosses val="autoZero"/>
        <c:auto val="1"/>
        <c:lblAlgn val="ctr"/>
        <c:lblOffset val="100"/>
        <c:noMultiLvlLbl val="0"/>
      </c:catAx>
      <c:valAx>
        <c:axId val="509702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515195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8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r>
              <a:rPr lang="es-ES_tradnl"/>
              <a:t>Phibro</a:t>
            </a:r>
          </a:p>
        </c:rich>
      </c:tx>
      <c:overlay val="0"/>
      <c:spPr>
        <a:noFill/>
        <a:ln>
          <a:noFill/>
        </a:ln>
        <a:effectLst/>
      </c:spPr>
      <c:txPr>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endParaRPr lang="es-ES"/>
        </a:p>
      </c:txPr>
    </c:title>
    <c:autoTitleDeleted val="0"/>
    <c:plotArea>
      <c:layout/>
      <c:barChart>
        <c:barDir val="col"/>
        <c:grouping val="percentStacked"/>
        <c:varyColors val="0"/>
        <c:ser>
          <c:idx val="2"/>
          <c:order val="0"/>
          <c:tx>
            <c:strRef>
              <c:f>Phibro!$I$10</c:f>
              <c:strCache>
                <c:ptCount val="1"/>
                <c:pt idx="0">
                  <c:v>Passiu Corrent</c:v>
                </c:pt>
              </c:strCache>
            </c:strRef>
          </c:tx>
          <c:spPr>
            <a:solidFill>
              <a:schemeClr val="accent3"/>
            </a:solidFill>
            <a:ln>
              <a:noFill/>
            </a:ln>
            <a:effectLst/>
          </c:spPr>
          <c:invertIfNegative val="0"/>
          <c:cat>
            <c:numRef>
              <c:f>Phibro!$K$4:$S$4</c:f>
              <c:numCache>
                <c:formatCode>General</c:formatCode>
                <c:ptCount val="5"/>
                <c:pt idx="0">
                  <c:v>2019</c:v>
                </c:pt>
                <c:pt idx="1">
                  <c:v>2018</c:v>
                </c:pt>
                <c:pt idx="2">
                  <c:v>2017</c:v>
                </c:pt>
                <c:pt idx="3">
                  <c:v>2016</c:v>
                </c:pt>
                <c:pt idx="4">
                  <c:v>2015</c:v>
                </c:pt>
              </c:numCache>
            </c:numRef>
          </c:cat>
          <c:val>
            <c:numRef>
              <c:f>Phibro!$J$10:$S$10</c:f>
              <c:numCache>
                <c:formatCode>0.00%</c:formatCode>
                <c:ptCount val="5"/>
                <c:pt idx="0">
                  <c:v>0.21182943603851445</c:v>
                </c:pt>
                <c:pt idx="1">
                  <c:v>0.21279761904761904</c:v>
                </c:pt>
                <c:pt idx="2">
                  <c:v>0.18619582664526485</c:v>
                </c:pt>
                <c:pt idx="3">
                  <c:v>0.17927631578947367</c:v>
                </c:pt>
                <c:pt idx="4">
                  <c:v>0.22515212981744423</c:v>
                </c:pt>
              </c:numCache>
            </c:numRef>
          </c:val>
          <c:extLst>
            <c:ext xmlns:c16="http://schemas.microsoft.com/office/drawing/2014/chart" uri="{C3380CC4-5D6E-409C-BE32-E72D297353CC}">
              <c16:uniqueId val="{00000000-2108-D546-B6FB-3E84DDD27770}"/>
            </c:ext>
          </c:extLst>
        </c:ser>
        <c:ser>
          <c:idx val="1"/>
          <c:order val="1"/>
          <c:tx>
            <c:strRef>
              <c:f>Phibro!$I$9</c:f>
              <c:strCache>
                <c:ptCount val="1"/>
                <c:pt idx="0">
                  <c:v>Passiu no corrent</c:v>
                </c:pt>
              </c:strCache>
            </c:strRef>
          </c:tx>
          <c:spPr>
            <a:solidFill>
              <a:schemeClr val="accent2"/>
            </a:solidFill>
            <a:ln>
              <a:noFill/>
            </a:ln>
            <a:effectLst/>
          </c:spPr>
          <c:invertIfNegative val="0"/>
          <c:cat>
            <c:numRef>
              <c:f>Phibro!$K$4:$S$4</c:f>
              <c:numCache>
                <c:formatCode>General</c:formatCode>
                <c:ptCount val="5"/>
                <c:pt idx="0">
                  <c:v>2019</c:v>
                </c:pt>
                <c:pt idx="1">
                  <c:v>2018</c:v>
                </c:pt>
                <c:pt idx="2">
                  <c:v>2017</c:v>
                </c:pt>
                <c:pt idx="3">
                  <c:v>2016</c:v>
                </c:pt>
                <c:pt idx="4">
                  <c:v>2015</c:v>
                </c:pt>
              </c:numCache>
            </c:numRef>
          </c:cat>
          <c:val>
            <c:numRef>
              <c:f>Phibro!$J$9:$S$9</c:f>
              <c:numCache>
                <c:formatCode>0.00%</c:formatCode>
                <c:ptCount val="5"/>
                <c:pt idx="0">
                  <c:v>0.49105914718019256</c:v>
                </c:pt>
                <c:pt idx="1">
                  <c:v>0.51190476190476186</c:v>
                </c:pt>
                <c:pt idx="2">
                  <c:v>0.5714285714285714</c:v>
                </c:pt>
                <c:pt idx="3">
                  <c:v>0.67269736842105265</c:v>
                </c:pt>
                <c:pt idx="4">
                  <c:v>0.71399594320486814</c:v>
                </c:pt>
              </c:numCache>
            </c:numRef>
          </c:val>
          <c:extLst>
            <c:ext xmlns:c16="http://schemas.microsoft.com/office/drawing/2014/chart" uri="{C3380CC4-5D6E-409C-BE32-E72D297353CC}">
              <c16:uniqueId val="{00000001-2108-D546-B6FB-3E84DDD27770}"/>
            </c:ext>
          </c:extLst>
        </c:ser>
        <c:ser>
          <c:idx val="0"/>
          <c:order val="2"/>
          <c:tx>
            <c:strRef>
              <c:f>Phibro!$I$8</c:f>
              <c:strCache>
                <c:ptCount val="1"/>
                <c:pt idx="0">
                  <c:v>Patrimoni net</c:v>
                </c:pt>
              </c:strCache>
            </c:strRef>
          </c:tx>
          <c:spPr>
            <a:solidFill>
              <a:schemeClr val="accent1"/>
            </a:solidFill>
            <a:ln>
              <a:noFill/>
            </a:ln>
            <a:effectLst/>
          </c:spPr>
          <c:invertIfNegative val="0"/>
          <c:cat>
            <c:numRef>
              <c:f>Phibro!$K$4:$S$4</c:f>
              <c:numCache>
                <c:formatCode>General</c:formatCode>
                <c:ptCount val="5"/>
                <c:pt idx="0">
                  <c:v>2019</c:v>
                </c:pt>
                <c:pt idx="1">
                  <c:v>2018</c:v>
                </c:pt>
                <c:pt idx="2">
                  <c:v>2017</c:v>
                </c:pt>
                <c:pt idx="3">
                  <c:v>2016</c:v>
                </c:pt>
                <c:pt idx="4">
                  <c:v>2015</c:v>
                </c:pt>
              </c:numCache>
            </c:numRef>
          </c:cat>
          <c:val>
            <c:numRef>
              <c:f>Phibro!$J$8:$S$8</c:f>
              <c:numCache>
                <c:formatCode>0.00%</c:formatCode>
                <c:ptCount val="5"/>
                <c:pt idx="0">
                  <c:v>0.29711141678129299</c:v>
                </c:pt>
                <c:pt idx="1">
                  <c:v>0.27529761904761907</c:v>
                </c:pt>
                <c:pt idx="2">
                  <c:v>0.24237560192616373</c:v>
                </c:pt>
                <c:pt idx="3">
                  <c:v>0.14802631578947367</c:v>
                </c:pt>
                <c:pt idx="4">
                  <c:v>6.0851926977687626E-2</c:v>
                </c:pt>
              </c:numCache>
            </c:numRef>
          </c:val>
          <c:extLst>
            <c:ext xmlns:c16="http://schemas.microsoft.com/office/drawing/2014/chart" uri="{C3380CC4-5D6E-409C-BE32-E72D297353CC}">
              <c16:uniqueId val="{00000002-2108-D546-B6FB-3E84DDD27770}"/>
            </c:ext>
          </c:extLst>
        </c:ser>
        <c:dLbls>
          <c:showLegendKey val="0"/>
          <c:showVal val="0"/>
          <c:showCatName val="0"/>
          <c:showSerName val="0"/>
          <c:showPercent val="0"/>
          <c:showBubbleSize val="0"/>
        </c:dLbls>
        <c:gapWidth val="150"/>
        <c:overlap val="100"/>
        <c:axId val="382170416"/>
        <c:axId val="382170808"/>
      </c:barChart>
      <c:catAx>
        <c:axId val="38217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382170808"/>
        <c:crosses val="autoZero"/>
        <c:auto val="1"/>
        <c:lblAlgn val="ctr"/>
        <c:lblOffset val="100"/>
        <c:noMultiLvlLbl val="0"/>
      </c:catAx>
      <c:valAx>
        <c:axId val="382170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382170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8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r>
              <a:rPr lang="es-ES_tradnl"/>
              <a:t>Hipra</a:t>
            </a:r>
          </a:p>
        </c:rich>
      </c:tx>
      <c:overlay val="0"/>
      <c:spPr>
        <a:noFill/>
        <a:ln>
          <a:noFill/>
        </a:ln>
        <a:effectLst/>
      </c:spPr>
      <c:txPr>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endParaRPr lang="es-ES"/>
        </a:p>
      </c:txPr>
    </c:title>
    <c:autoTitleDeleted val="0"/>
    <c:plotArea>
      <c:layout/>
      <c:barChart>
        <c:barDir val="col"/>
        <c:grouping val="stacked"/>
        <c:varyColors val="0"/>
        <c:ser>
          <c:idx val="0"/>
          <c:order val="0"/>
          <c:tx>
            <c:strRef>
              <c:f>'Balanç % ver. % hor'!$C$54</c:f>
              <c:strCache>
                <c:ptCount val="1"/>
              </c:strCache>
            </c:strRef>
          </c:tx>
          <c:spPr>
            <a:solidFill>
              <a:schemeClr val="accent1"/>
            </a:solidFill>
            <a:ln>
              <a:noFill/>
            </a:ln>
            <a:effectLst/>
          </c:spPr>
          <c:invertIfNegative val="0"/>
          <c:cat>
            <c:numRef>
              <c:f>'Balanç % ver. % hor'!$B$55:$B$59</c:f>
              <c:numCache>
                <c:formatCode>General</c:formatCode>
                <c:ptCount val="5"/>
                <c:pt idx="0">
                  <c:v>2019</c:v>
                </c:pt>
                <c:pt idx="1">
                  <c:v>2018</c:v>
                </c:pt>
                <c:pt idx="2">
                  <c:v>2017</c:v>
                </c:pt>
                <c:pt idx="3">
                  <c:v>2016</c:v>
                </c:pt>
                <c:pt idx="4">
                  <c:v>2015</c:v>
                </c:pt>
              </c:numCache>
            </c:numRef>
          </c:cat>
          <c:val>
            <c:numRef>
              <c:f>'Balanç % ver. % hor'!$C$55:$C$59</c:f>
            </c:numRef>
          </c:val>
          <c:extLst>
            <c:ext xmlns:c16="http://schemas.microsoft.com/office/drawing/2014/chart" uri="{C3380CC4-5D6E-409C-BE32-E72D297353CC}">
              <c16:uniqueId val="{00000000-DDCD-EC40-B0A5-9C232D649EAA}"/>
            </c:ext>
          </c:extLst>
        </c:ser>
        <c:ser>
          <c:idx val="1"/>
          <c:order val="1"/>
          <c:tx>
            <c:strRef>
              <c:f>'Balanç % ver. % hor'!$D$54</c:f>
              <c:strCache>
                <c:ptCount val="1"/>
                <c:pt idx="0">
                  <c:v>Passiu corrent</c:v>
                </c:pt>
              </c:strCache>
            </c:strRef>
          </c:tx>
          <c:spPr>
            <a:solidFill>
              <a:schemeClr val="accent2"/>
            </a:solidFill>
            <a:ln>
              <a:noFill/>
            </a:ln>
            <a:effectLst/>
          </c:spPr>
          <c:invertIfNegative val="0"/>
          <c:cat>
            <c:numRef>
              <c:f>'Balanç % ver. % hor'!$B$55:$B$59</c:f>
              <c:numCache>
                <c:formatCode>General</c:formatCode>
                <c:ptCount val="5"/>
                <c:pt idx="0">
                  <c:v>2019</c:v>
                </c:pt>
                <c:pt idx="1">
                  <c:v>2018</c:v>
                </c:pt>
                <c:pt idx="2">
                  <c:v>2017</c:v>
                </c:pt>
                <c:pt idx="3">
                  <c:v>2016</c:v>
                </c:pt>
                <c:pt idx="4">
                  <c:v>2015</c:v>
                </c:pt>
              </c:numCache>
            </c:numRef>
          </c:cat>
          <c:val>
            <c:numRef>
              <c:f>'Balanç % ver. % hor'!$D$55:$D$59</c:f>
              <c:numCache>
                <c:formatCode>0.00%</c:formatCode>
                <c:ptCount val="5"/>
                <c:pt idx="0">
                  <c:v>0.18</c:v>
                </c:pt>
                <c:pt idx="1">
                  <c:v>0.17</c:v>
                </c:pt>
                <c:pt idx="2">
                  <c:v>0.2</c:v>
                </c:pt>
                <c:pt idx="3">
                  <c:v>0.22</c:v>
                </c:pt>
                <c:pt idx="4">
                  <c:v>0.23</c:v>
                </c:pt>
              </c:numCache>
            </c:numRef>
          </c:val>
          <c:extLst>
            <c:ext xmlns:c16="http://schemas.microsoft.com/office/drawing/2014/chart" uri="{C3380CC4-5D6E-409C-BE32-E72D297353CC}">
              <c16:uniqueId val="{00000001-DDCD-EC40-B0A5-9C232D649EAA}"/>
            </c:ext>
          </c:extLst>
        </c:ser>
        <c:ser>
          <c:idx val="2"/>
          <c:order val="2"/>
          <c:tx>
            <c:strRef>
              <c:f>'Balanç % ver. % hor'!$E$54</c:f>
              <c:strCache>
                <c:ptCount val="1"/>
              </c:strCache>
            </c:strRef>
          </c:tx>
          <c:spPr>
            <a:solidFill>
              <a:schemeClr val="accent3"/>
            </a:solidFill>
            <a:ln>
              <a:noFill/>
            </a:ln>
            <a:effectLst/>
          </c:spPr>
          <c:invertIfNegative val="0"/>
          <c:cat>
            <c:numRef>
              <c:f>'Balanç % ver. % hor'!$B$55:$B$59</c:f>
              <c:numCache>
                <c:formatCode>General</c:formatCode>
                <c:ptCount val="5"/>
                <c:pt idx="0">
                  <c:v>2019</c:v>
                </c:pt>
                <c:pt idx="1">
                  <c:v>2018</c:v>
                </c:pt>
                <c:pt idx="2">
                  <c:v>2017</c:v>
                </c:pt>
                <c:pt idx="3">
                  <c:v>2016</c:v>
                </c:pt>
                <c:pt idx="4">
                  <c:v>2015</c:v>
                </c:pt>
              </c:numCache>
            </c:numRef>
          </c:cat>
          <c:val>
            <c:numRef>
              <c:f>'Balanç % ver. % hor'!$E$55:$E$59</c:f>
            </c:numRef>
          </c:val>
          <c:extLst>
            <c:ext xmlns:c16="http://schemas.microsoft.com/office/drawing/2014/chart" uri="{C3380CC4-5D6E-409C-BE32-E72D297353CC}">
              <c16:uniqueId val="{00000002-DDCD-EC40-B0A5-9C232D649EAA}"/>
            </c:ext>
          </c:extLst>
        </c:ser>
        <c:ser>
          <c:idx val="3"/>
          <c:order val="3"/>
          <c:tx>
            <c:strRef>
              <c:f>'Balanç % ver. % hor'!$F$54</c:f>
              <c:strCache>
                <c:ptCount val="1"/>
                <c:pt idx="0">
                  <c:v>Passiu no corrent</c:v>
                </c:pt>
              </c:strCache>
            </c:strRef>
          </c:tx>
          <c:spPr>
            <a:solidFill>
              <a:schemeClr val="accent4"/>
            </a:solidFill>
            <a:ln>
              <a:noFill/>
            </a:ln>
            <a:effectLst/>
          </c:spPr>
          <c:invertIfNegative val="0"/>
          <c:cat>
            <c:numRef>
              <c:f>'Balanç % ver. % hor'!$B$55:$B$59</c:f>
              <c:numCache>
                <c:formatCode>General</c:formatCode>
                <c:ptCount val="5"/>
                <c:pt idx="0">
                  <c:v>2019</c:v>
                </c:pt>
                <c:pt idx="1">
                  <c:v>2018</c:v>
                </c:pt>
                <c:pt idx="2">
                  <c:v>2017</c:v>
                </c:pt>
                <c:pt idx="3">
                  <c:v>2016</c:v>
                </c:pt>
                <c:pt idx="4">
                  <c:v>2015</c:v>
                </c:pt>
              </c:numCache>
            </c:numRef>
          </c:cat>
          <c:val>
            <c:numRef>
              <c:f>'Balanç % ver. % hor'!$F$55:$F$59</c:f>
              <c:numCache>
                <c:formatCode>0.00%</c:formatCode>
                <c:ptCount val="5"/>
                <c:pt idx="0">
                  <c:v>0.08</c:v>
                </c:pt>
                <c:pt idx="1">
                  <c:v>0.05</c:v>
                </c:pt>
                <c:pt idx="2">
                  <c:v>0.03</c:v>
                </c:pt>
                <c:pt idx="3">
                  <c:v>0.03</c:v>
                </c:pt>
                <c:pt idx="4">
                  <c:v>0.04</c:v>
                </c:pt>
              </c:numCache>
            </c:numRef>
          </c:val>
          <c:extLst>
            <c:ext xmlns:c16="http://schemas.microsoft.com/office/drawing/2014/chart" uri="{C3380CC4-5D6E-409C-BE32-E72D297353CC}">
              <c16:uniqueId val="{00000003-DDCD-EC40-B0A5-9C232D649EAA}"/>
            </c:ext>
          </c:extLst>
        </c:ser>
        <c:ser>
          <c:idx val="4"/>
          <c:order val="4"/>
          <c:tx>
            <c:strRef>
              <c:f>'Balanç % ver. % hor'!$G$54</c:f>
              <c:strCache>
                <c:ptCount val="1"/>
              </c:strCache>
            </c:strRef>
          </c:tx>
          <c:spPr>
            <a:solidFill>
              <a:schemeClr val="accent5"/>
            </a:solidFill>
            <a:ln>
              <a:noFill/>
            </a:ln>
            <a:effectLst/>
          </c:spPr>
          <c:invertIfNegative val="0"/>
          <c:cat>
            <c:numRef>
              <c:f>'Balanç % ver. % hor'!$B$55:$B$59</c:f>
              <c:numCache>
                <c:formatCode>General</c:formatCode>
                <c:ptCount val="5"/>
                <c:pt idx="0">
                  <c:v>2019</c:v>
                </c:pt>
                <c:pt idx="1">
                  <c:v>2018</c:v>
                </c:pt>
                <c:pt idx="2">
                  <c:v>2017</c:v>
                </c:pt>
                <c:pt idx="3">
                  <c:v>2016</c:v>
                </c:pt>
                <c:pt idx="4">
                  <c:v>2015</c:v>
                </c:pt>
              </c:numCache>
            </c:numRef>
          </c:cat>
          <c:val>
            <c:numRef>
              <c:f>'Balanç % ver. % hor'!$G$55:$G$59</c:f>
            </c:numRef>
          </c:val>
          <c:extLst>
            <c:ext xmlns:c16="http://schemas.microsoft.com/office/drawing/2014/chart" uri="{C3380CC4-5D6E-409C-BE32-E72D297353CC}">
              <c16:uniqueId val="{00000004-DDCD-EC40-B0A5-9C232D649EAA}"/>
            </c:ext>
          </c:extLst>
        </c:ser>
        <c:ser>
          <c:idx val="5"/>
          <c:order val="5"/>
          <c:tx>
            <c:strRef>
              <c:f>'Balanç % ver. % hor'!$H$54</c:f>
              <c:strCache>
                <c:ptCount val="1"/>
                <c:pt idx="0">
                  <c:v>Patrimoni net</c:v>
                </c:pt>
              </c:strCache>
            </c:strRef>
          </c:tx>
          <c:spPr>
            <a:solidFill>
              <a:schemeClr val="accent6"/>
            </a:solidFill>
            <a:ln>
              <a:noFill/>
            </a:ln>
            <a:effectLst/>
          </c:spPr>
          <c:invertIfNegative val="0"/>
          <c:cat>
            <c:numRef>
              <c:f>'Balanç % ver. % hor'!$B$55:$B$59</c:f>
              <c:numCache>
                <c:formatCode>General</c:formatCode>
                <c:ptCount val="5"/>
                <c:pt idx="0">
                  <c:v>2019</c:v>
                </c:pt>
                <c:pt idx="1">
                  <c:v>2018</c:v>
                </c:pt>
                <c:pt idx="2">
                  <c:v>2017</c:v>
                </c:pt>
                <c:pt idx="3">
                  <c:v>2016</c:v>
                </c:pt>
                <c:pt idx="4">
                  <c:v>2015</c:v>
                </c:pt>
              </c:numCache>
            </c:numRef>
          </c:cat>
          <c:val>
            <c:numRef>
              <c:f>'Balanç % ver. % hor'!$H$55:$H$59</c:f>
              <c:numCache>
                <c:formatCode>0.00%</c:formatCode>
                <c:ptCount val="5"/>
                <c:pt idx="0">
                  <c:v>0.74</c:v>
                </c:pt>
                <c:pt idx="1">
                  <c:v>0.78</c:v>
                </c:pt>
                <c:pt idx="2">
                  <c:v>0.78</c:v>
                </c:pt>
                <c:pt idx="3">
                  <c:v>0.75</c:v>
                </c:pt>
                <c:pt idx="4">
                  <c:v>0.73</c:v>
                </c:pt>
              </c:numCache>
            </c:numRef>
          </c:val>
          <c:extLst>
            <c:ext xmlns:c16="http://schemas.microsoft.com/office/drawing/2014/chart" uri="{C3380CC4-5D6E-409C-BE32-E72D297353CC}">
              <c16:uniqueId val="{00000005-DDCD-EC40-B0A5-9C232D649EAA}"/>
            </c:ext>
          </c:extLst>
        </c:ser>
        <c:dLbls>
          <c:showLegendKey val="0"/>
          <c:showVal val="0"/>
          <c:showCatName val="0"/>
          <c:showSerName val="0"/>
          <c:showPercent val="0"/>
          <c:showBubbleSize val="0"/>
        </c:dLbls>
        <c:gapWidth val="150"/>
        <c:overlap val="100"/>
        <c:axId val="1354356576"/>
        <c:axId val="1354528944"/>
      </c:barChart>
      <c:catAx>
        <c:axId val="135435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354528944"/>
        <c:crosses val="autoZero"/>
        <c:auto val="1"/>
        <c:lblAlgn val="ctr"/>
        <c:lblOffset val="100"/>
        <c:noMultiLvlLbl val="0"/>
      </c:catAx>
      <c:valAx>
        <c:axId val="135452894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354356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8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'Xifra de negocis'!$C$8</c:f>
              <c:strCache>
                <c:ptCount val="1"/>
                <c:pt idx="0">
                  <c:v>Zoetis</c:v>
                </c:pt>
              </c:strCache>
            </c:strRef>
          </c:tx>
          <c:spPr>
            <a:solidFill>
              <a:schemeClr val="accent1"/>
            </a:solidFill>
            <a:ln>
              <a:noFill/>
            </a:ln>
            <a:effectLst/>
          </c:spPr>
          <c:invertIfNegative val="0"/>
          <c:cat>
            <c:numRef>
              <c:f>'Xifra de negocis'!$D$7:$L$7</c:f>
              <c:numCache>
                <c:formatCode>General</c:formatCode>
                <c:ptCount val="5"/>
                <c:pt idx="0">
                  <c:v>2015</c:v>
                </c:pt>
                <c:pt idx="1">
                  <c:v>2016</c:v>
                </c:pt>
                <c:pt idx="2">
                  <c:v>2017</c:v>
                </c:pt>
                <c:pt idx="3">
                  <c:v>2018</c:v>
                </c:pt>
                <c:pt idx="4">
                  <c:v>2019</c:v>
                </c:pt>
              </c:numCache>
            </c:numRef>
          </c:cat>
          <c:val>
            <c:numRef>
              <c:f>'Xifra de negocis'!$D$8:$L$8</c:f>
              <c:numCache>
                <c:formatCode>General</c:formatCode>
                <c:ptCount val="5"/>
                <c:pt idx="0">
                  <c:v>4765</c:v>
                </c:pt>
                <c:pt idx="1">
                  <c:v>4888</c:v>
                </c:pt>
                <c:pt idx="2">
                  <c:v>5307</c:v>
                </c:pt>
                <c:pt idx="3">
                  <c:v>5825</c:v>
                </c:pt>
                <c:pt idx="4">
                  <c:v>6260</c:v>
                </c:pt>
              </c:numCache>
            </c:numRef>
          </c:val>
          <c:extLst>
            <c:ext xmlns:c16="http://schemas.microsoft.com/office/drawing/2014/chart" uri="{C3380CC4-5D6E-409C-BE32-E72D297353CC}">
              <c16:uniqueId val="{00000000-26C8-5341-B4B8-6497D5439083}"/>
            </c:ext>
          </c:extLst>
        </c:ser>
        <c:ser>
          <c:idx val="1"/>
          <c:order val="1"/>
          <c:tx>
            <c:strRef>
              <c:f>'Xifra de negocis'!$C$9</c:f>
              <c:strCache>
                <c:ptCount val="1"/>
                <c:pt idx="0">
                  <c:v>IDEXX</c:v>
                </c:pt>
              </c:strCache>
            </c:strRef>
          </c:tx>
          <c:spPr>
            <a:solidFill>
              <a:schemeClr val="accent2"/>
            </a:solidFill>
            <a:ln>
              <a:noFill/>
            </a:ln>
            <a:effectLst/>
          </c:spPr>
          <c:invertIfNegative val="0"/>
          <c:cat>
            <c:numRef>
              <c:f>'Xifra de negocis'!$D$7:$L$7</c:f>
              <c:numCache>
                <c:formatCode>General</c:formatCode>
                <c:ptCount val="5"/>
                <c:pt idx="0">
                  <c:v>2015</c:v>
                </c:pt>
                <c:pt idx="1">
                  <c:v>2016</c:v>
                </c:pt>
                <c:pt idx="2">
                  <c:v>2017</c:v>
                </c:pt>
                <c:pt idx="3">
                  <c:v>2018</c:v>
                </c:pt>
                <c:pt idx="4">
                  <c:v>2019</c:v>
                </c:pt>
              </c:numCache>
            </c:numRef>
          </c:cat>
          <c:val>
            <c:numRef>
              <c:f>'Xifra de negocis'!$D$9:$L$9</c:f>
              <c:numCache>
                <c:formatCode>General</c:formatCode>
                <c:ptCount val="5"/>
                <c:pt idx="0">
                  <c:v>1602</c:v>
                </c:pt>
                <c:pt idx="1">
                  <c:v>1775</c:v>
                </c:pt>
                <c:pt idx="2">
                  <c:v>1969</c:v>
                </c:pt>
                <c:pt idx="3">
                  <c:v>2213</c:v>
                </c:pt>
                <c:pt idx="4">
                  <c:v>2405</c:v>
                </c:pt>
              </c:numCache>
            </c:numRef>
          </c:val>
          <c:extLst>
            <c:ext xmlns:c16="http://schemas.microsoft.com/office/drawing/2014/chart" uri="{C3380CC4-5D6E-409C-BE32-E72D297353CC}">
              <c16:uniqueId val="{00000001-26C8-5341-B4B8-6497D5439083}"/>
            </c:ext>
          </c:extLst>
        </c:ser>
        <c:ser>
          <c:idx val="2"/>
          <c:order val="2"/>
          <c:tx>
            <c:strRef>
              <c:f>'Xifra de negocis'!$C$10</c:f>
              <c:strCache>
                <c:ptCount val="1"/>
                <c:pt idx="0">
                  <c:v>Virbac</c:v>
                </c:pt>
              </c:strCache>
            </c:strRef>
          </c:tx>
          <c:spPr>
            <a:solidFill>
              <a:schemeClr val="accent3"/>
            </a:solidFill>
            <a:ln>
              <a:noFill/>
            </a:ln>
            <a:effectLst/>
          </c:spPr>
          <c:invertIfNegative val="0"/>
          <c:cat>
            <c:numRef>
              <c:f>'Xifra de negocis'!$D$7:$L$7</c:f>
              <c:numCache>
                <c:formatCode>General</c:formatCode>
                <c:ptCount val="5"/>
                <c:pt idx="0">
                  <c:v>2015</c:v>
                </c:pt>
                <c:pt idx="1">
                  <c:v>2016</c:v>
                </c:pt>
                <c:pt idx="2">
                  <c:v>2017</c:v>
                </c:pt>
                <c:pt idx="3">
                  <c:v>2018</c:v>
                </c:pt>
                <c:pt idx="4">
                  <c:v>2019</c:v>
                </c:pt>
              </c:numCache>
            </c:numRef>
          </c:cat>
          <c:val>
            <c:numRef>
              <c:f>'Xifra de negocis'!$D$10:$L$10</c:f>
              <c:numCache>
                <c:formatCode>General</c:formatCode>
                <c:ptCount val="5"/>
                <c:pt idx="0">
                  <c:v>947</c:v>
                </c:pt>
                <c:pt idx="1">
                  <c:v>965</c:v>
                </c:pt>
                <c:pt idx="2">
                  <c:v>973</c:v>
                </c:pt>
                <c:pt idx="3">
                  <c:v>1027</c:v>
                </c:pt>
                <c:pt idx="4">
                  <c:v>1051</c:v>
                </c:pt>
              </c:numCache>
            </c:numRef>
          </c:val>
          <c:extLst>
            <c:ext xmlns:c16="http://schemas.microsoft.com/office/drawing/2014/chart" uri="{C3380CC4-5D6E-409C-BE32-E72D297353CC}">
              <c16:uniqueId val="{00000002-26C8-5341-B4B8-6497D5439083}"/>
            </c:ext>
          </c:extLst>
        </c:ser>
        <c:ser>
          <c:idx val="3"/>
          <c:order val="3"/>
          <c:tx>
            <c:strRef>
              <c:f>'Xifra de negocis'!$C$11</c:f>
              <c:strCache>
                <c:ptCount val="1"/>
                <c:pt idx="0">
                  <c:v>Neogen</c:v>
                </c:pt>
              </c:strCache>
            </c:strRef>
          </c:tx>
          <c:spPr>
            <a:solidFill>
              <a:schemeClr val="accent4"/>
            </a:solidFill>
            <a:ln>
              <a:noFill/>
            </a:ln>
            <a:effectLst/>
          </c:spPr>
          <c:invertIfNegative val="0"/>
          <c:cat>
            <c:numRef>
              <c:f>'Xifra de negocis'!$D$7:$L$7</c:f>
              <c:numCache>
                <c:formatCode>General</c:formatCode>
                <c:ptCount val="5"/>
                <c:pt idx="0">
                  <c:v>2015</c:v>
                </c:pt>
                <c:pt idx="1">
                  <c:v>2016</c:v>
                </c:pt>
                <c:pt idx="2">
                  <c:v>2017</c:v>
                </c:pt>
                <c:pt idx="3">
                  <c:v>2018</c:v>
                </c:pt>
                <c:pt idx="4">
                  <c:v>2019</c:v>
                </c:pt>
              </c:numCache>
            </c:numRef>
          </c:cat>
          <c:val>
            <c:numRef>
              <c:f>'Xifra de negocis'!$D$11:$L$11</c:f>
              <c:numCache>
                <c:formatCode>General</c:formatCode>
                <c:ptCount val="5"/>
                <c:pt idx="0">
                  <c:v>283</c:v>
                </c:pt>
                <c:pt idx="1">
                  <c:v>321</c:v>
                </c:pt>
                <c:pt idx="2">
                  <c:v>362</c:v>
                </c:pt>
                <c:pt idx="3">
                  <c:v>398</c:v>
                </c:pt>
                <c:pt idx="4">
                  <c:v>414</c:v>
                </c:pt>
              </c:numCache>
            </c:numRef>
          </c:val>
          <c:extLst>
            <c:ext xmlns:c16="http://schemas.microsoft.com/office/drawing/2014/chart" uri="{C3380CC4-5D6E-409C-BE32-E72D297353CC}">
              <c16:uniqueId val="{00000003-26C8-5341-B4B8-6497D5439083}"/>
            </c:ext>
          </c:extLst>
        </c:ser>
        <c:ser>
          <c:idx val="4"/>
          <c:order val="4"/>
          <c:tx>
            <c:strRef>
              <c:f>'Xifra de negocis'!$C$12</c:f>
              <c:strCache>
                <c:ptCount val="1"/>
                <c:pt idx="0">
                  <c:v>Phibro</c:v>
                </c:pt>
              </c:strCache>
            </c:strRef>
          </c:tx>
          <c:spPr>
            <a:solidFill>
              <a:schemeClr val="accent5"/>
            </a:solidFill>
            <a:ln>
              <a:noFill/>
            </a:ln>
            <a:effectLst/>
          </c:spPr>
          <c:invertIfNegative val="0"/>
          <c:cat>
            <c:numRef>
              <c:f>'Xifra de negocis'!$D$7:$L$7</c:f>
              <c:numCache>
                <c:formatCode>General</c:formatCode>
                <c:ptCount val="5"/>
                <c:pt idx="0">
                  <c:v>2015</c:v>
                </c:pt>
                <c:pt idx="1">
                  <c:v>2016</c:v>
                </c:pt>
                <c:pt idx="2">
                  <c:v>2017</c:v>
                </c:pt>
                <c:pt idx="3">
                  <c:v>2018</c:v>
                </c:pt>
                <c:pt idx="4">
                  <c:v>2019</c:v>
                </c:pt>
              </c:numCache>
            </c:numRef>
          </c:cat>
          <c:val>
            <c:numRef>
              <c:f>'Xifra de negocis'!$D$12:$L$12</c:f>
              <c:numCache>
                <c:formatCode>General</c:formatCode>
                <c:ptCount val="5"/>
                <c:pt idx="0">
                  <c:v>749</c:v>
                </c:pt>
                <c:pt idx="1">
                  <c:v>752</c:v>
                </c:pt>
                <c:pt idx="2">
                  <c:v>764</c:v>
                </c:pt>
                <c:pt idx="3">
                  <c:v>820</c:v>
                </c:pt>
                <c:pt idx="4">
                  <c:v>828</c:v>
                </c:pt>
              </c:numCache>
            </c:numRef>
          </c:val>
          <c:extLst>
            <c:ext xmlns:c16="http://schemas.microsoft.com/office/drawing/2014/chart" uri="{C3380CC4-5D6E-409C-BE32-E72D297353CC}">
              <c16:uniqueId val="{00000004-26C8-5341-B4B8-6497D5439083}"/>
            </c:ext>
          </c:extLst>
        </c:ser>
        <c:ser>
          <c:idx val="5"/>
          <c:order val="5"/>
          <c:tx>
            <c:strRef>
              <c:f>'Xifra de negocis'!$C$13</c:f>
              <c:strCache>
                <c:ptCount val="1"/>
                <c:pt idx="0">
                  <c:v>Hipra</c:v>
                </c:pt>
              </c:strCache>
            </c:strRef>
          </c:tx>
          <c:spPr>
            <a:solidFill>
              <a:schemeClr val="accent6"/>
            </a:solidFill>
            <a:ln>
              <a:noFill/>
            </a:ln>
            <a:effectLst/>
          </c:spPr>
          <c:invertIfNegative val="0"/>
          <c:cat>
            <c:numRef>
              <c:f>'Xifra de negocis'!$D$7:$L$7</c:f>
              <c:numCache>
                <c:formatCode>General</c:formatCode>
                <c:ptCount val="5"/>
                <c:pt idx="0">
                  <c:v>2015</c:v>
                </c:pt>
                <c:pt idx="1">
                  <c:v>2016</c:v>
                </c:pt>
                <c:pt idx="2">
                  <c:v>2017</c:v>
                </c:pt>
                <c:pt idx="3">
                  <c:v>2018</c:v>
                </c:pt>
                <c:pt idx="4">
                  <c:v>2019</c:v>
                </c:pt>
              </c:numCache>
            </c:numRef>
          </c:cat>
          <c:val>
            <c:numRef>
              <c:f>'Xifra de negocis'!$D$13:$L$13</c:f>
              <c:numCache>
                <c:formatCode>General</c:formatCode>
                <c:ptCount val="5"/>
                <c:pt idx="0">
                  <c:v>222</c:v>
                </c:pt>
                <c:pt idx="1">
                  <c:v>247</c:v>
                </c:pt>
                <c:pt idx="2">
                  <c:v>274</c:v>
                </c:pt>
                <c:pt idx="3">
                  <c:v>304</c:v>
                </c:pt>
                <c:pt idx="4">
                  <c:v>310</c:v>
                </c:pt>
              </c:numCache>
            </c:numRef>
          </c:val>
          <c:extLst>
            <c:ext xmlns:c16="http://schemas.microsoft.com/office/drawing/2014/chart" uri="{C3380CC4-5D6E-409C-BE32-E72D297353CC}">
              <c16:uniqueId val="{00000005-26C8-5341-B4B8-6497D5439083}"/>
            </c:ext>
          </c:extLst>
        </c:ser>
        <c:ser>
          <c:idx val="6"/>
          <c:order val="6"/>
          <c:tx>
            <c:strRef>
              <c:f>'Xifra de negocis'!$C$14</c:f>
              <c:strCache>
                <c:ptCount val="1"/>
                <c:pt idx="0">
                  <c:v>Mitjana sectorial</c:v>
                </c:pt>
              </c:strCache>
            </c:strRef>
          </c:tx>
          <c:spPr>
            <a:solidFill>
              <a:schemeClr val="accent1">
                <a:lumMod val="60000"/>
              </a:schemeClr>
            </a:solidFill>
            <a:ln>
              <a:noFill/>
            </a:ln>
            <a:effectLst/>
          </c:spPr>
          <c:invertIfNegative val="0"/>
          <c:cat>
            <c:numRef>
              <c:f>'Xifra de negocis'!$D$7:$L$7</c:f>
              <c:numCache>
                <c:formatCode>General</c:formatCode>
                <c:ptCount val="5"/>
                <c:pt idx="0">
                  <c:v>2015</c:v>
                </c:pt>
                <c:pt idx="1">
                  <c:v>2016</c:v>
                </c:pt>
                <c:pt idx="2">
                  <c:v>2017</c:v>
                </c:pt>
                <c:pt idx="3">
                  <c:v>2018</c:v>
                </c:pt>
                <c:pt idx="4">
                  <c:v>2019</c:v>
                </c:pt>
              </c:numCache>
            </c:numRef>
          </c:cat>
          <c:val>
            <c:numRef>
              <c:f>'Xifra de negocis'!$D$14:$L$14</c:f>
              <c:numCache>
                <c:formatCode>0</c:formatCode>
                <c:ptCount val="5"/>
                <c:pt idx="0">
                  <c:v>1428</c:v>
                </c:pt>
                <c:pt idx="1">
                  <c:v>1491.3333333333333</c:v>
                </c:pt>
                <c:pt idx="2">
                  <c:v>1608.1666666666667</c:v>
                </c:pt>
                <c:pt idx="3">
                  <c:v>1764.5</c:v>
                </c:pt>
                <c:pt idx="4">
                  <c:v>1878</c:v>
                </c:pt>
              </c:numCache>
            </c:numRef>
          </c:val>
          <c:extLst>
            <c:ext xmlns:c16="http://schemas.microsoft.com/office/drawing/2014/chart" uri="{C3380CC4-5D6E-409C-BE32-E72D297353CC}">
              <c16:uniqueId val="{00000006-26C8-5341-B4B8-6497D5439083}"/>
            </c:ext>
          </c:extLst>
        </c:ser>
        <c:dLbls>
          <c:showLegendKey val="0"/>
          <c:showVal val="0"/>
          <c:showCatName val="0"/>
          <c:showSerName val="0"/>
          <c:showPercent val="0"/>
          <c:showBubbleSize val="0"/>
        </c:dLbls>
        <c:gapWidth val="219"/>
        <c:axId val="1247192768"/>
        <c:axId val="1251819952"/>
      </c:barChart>
      <c:catAx>
        <c:axId val="124719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251819952"/>
        <c:crosses val="autoZero"/>
        <c:auto val="1"/>
        <c:lblAlgn val="ctr"/>
        <c:lblOffset val="100"/>
        <c:noMultiLvlLbl val="0"/>
      </c:catAx>
      <c:valAx>
        <c:axId val="1251819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24719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'Variació xifra de negocis'!$C$8</c:f>
              <c:strCache>
                <c:ptCount val="1"/>
                <c:pt idx="0">
                  <c:v>Zoetis</c:v>
                </c:pt>
              </c:strCache>
            </c:strRef>
          </c:tx>
          <c:spPr>
            <a:ln w="28575" cap="rnd">
              <a:solidFill>
                <a:schemeClr val="accent1"/>
              </a:solidFill>
              <a:round/>
            </a:ln>
            <a:effectLst/>
          </c:spPr>
          <c:marker>
            <c:symbol val="none"/>
          </c:marker>
          <c:cat>
            <c:strRef>
              <c:f>'Variació xifra de negocis'!$D$7:$L$7</c:f>
              <c:strCache>
                <c:ptCount val="4"/>
                <c:pt idx="0">
                  <c:v>16/15</c:v>
                </c:pt>
                <c:pt idx="1">
                  <c:v>17/16</c:v>
                </c:pt>
                <c:pt idx="2">
                  <c:v>18/17</c:v>
                </c:pt>
                <c:pt idx="3">
                  <c:v>19/18</c:v>
                </c:pt>
              </c:strCache>
            </c:strRef>
          </c:cat>
          <c:val>
            <c:numRef>
              <c:f>'Variació xifra de negocis'!$D$8:$L$8</c:f>
              <c:numCache>
                <c:formatCode>0.00%</c:formatCode>
                <c:ptCount val="4"/>
                <c:pt idx="0">
                  <c:v>2.5813221406086044E-2</c:v>
                </c:pt>
                <c:pt idx="1">
                  <c:v>8.572013093289689E-2</c:v>
                </c:pt>
                <c:pt idx="2">
                  <c:v>9.7606934237799134E-2</c:v>
                </c:pt>
                <c:pt idx="3">
                  <c:v>7.4678111587982834E-2</c:v>
                </c:pt>
              </c:numCache>
            </c:numRef>
          </c:val>
          <c:smooth val="0"/>
          <c:extLst>
            <c:ext xmlns:c16="http://schemas.microsoft.com/office/drawing/2014/chart" uri="{C3380CC4-5D6E-409C-BE32-E72D297353CC}">
              <c16:uniqueId val="{00000000-34F2-394E-9C59-B9FB9898E30F}"/>
            </c:ext>
          </c:extLst>
        </c:ser>
        <c:ser>
          <c:idx val="1"/>
          <c:order val="1"/>
          <c:tx>
            <c:strRef>
              <c:f>'Variació xifra de negocis'!$C$9</c:f>
              <c:strCache>
                <c:ptCount val="1"/>
                <c:pt idx="0">
                  <c:v>IDEXX</c:v>
                </c:pt>
              </c:strCache>
            </c:strRef>
          </c:tx>
          <c:spPr>
            <a:ln w="28575" cap="rnd">
              <a:solidFill>
                <a:schemeClr val="accent2"/>
              </a:solidFill>
              <a:round/>
            </a:ln>
            <a:effectLst/>
          </c:spPr>
          <c:marker>
            <c:symbol val="none"/>
          </c:marker>
          <c:cat>
            <c:strRef>
              <c:f>'Variació xifra de negocis'!$D$7:$L$7</c:f>
              <c:strCache>
                <c:ptCount val="4"/>
                <c:pt idx="0">
                  <c:v>16/15</c:v>
                </c:pt>
                <c:pt idx="1">
                  <c:v>17/16</c:v>
                </c:pt>
                <c:pt idx="2">
                  <c:v>18/17</c:v>
                </c:pt>
                <c:pt idx="3">
                  <c:v>19/18</c:v>
                </c:pt>
              </c:strCache>
            </c:strRef>
          </c:cat>
          <c:val>
            <c:numRef>
              <c:f>'Variació xifra de negocis'!$D$9:$L$9</c:f>
              <c:numCache>
                <c:formatCode>0.00%</c:formatCode>
                <c:ptCount val="4"/>
                <c:pt idx="0">
                  <c:v>0.10799001248439451</c:v>
                </c:pt>
                <c:pt idx="1">
                  <c:v>0.10929577464788733</c:v>
                </c:pt>
                <c:pt idx="2">
                  <c:v>0.12392077196546471</c:v>
                </c:pt>
                <c:pt idx="3">
                  <c:v>8.6760054225033897E-2</c:v>
                </c:pt>
              </c:numCache>
            </c:numRef>
          </c:val>
          <c:smooth val="0"/>
          <c:extLst>
            <c:ext xmlns:c16="http://schemas.microsoft.com/office/drawing/2014/chart" uri="{C3380CC4-5D6E-409C-BE32-E72D297353CC}">
              <c16:uniqueId val="{00000001-34F2-394E-9C59-B9FB9898E30F}"/>
            </c:ext>
          </c:extLst>
        </c:ser>
        <c:ser>
          <c:idx val="2"/>
          <c:order val="2"/>
          <c:tx>
            <c:strRef>
              <c:f>'Variació xifra de negocis'!$C$10</c:f>
              <c:strCache>
                <c:ptCount val="1"/>
                <c:pt idx="0">
                  <c:v>Virbac</c:v>
                </c:pt>
              </c:strCache>
            </c:strRef>
          </c:tx>
          <c:spPr>
            <a:ln w="28575" cap="rnd">
              <a:solidFill>
                <a:schemeClr val="accent3"/>
              </a:solidFill>
              <a:round/>
            </a:ln>
            <a:effectLst/>
          </c:spPr>
          <c:marker>
            <c:symbol val="none"/>
          </c:marker>
          <c:cat>
            <c:strRef>
              <c:f>'Variació xifra de negocis'!$D$7:$L$7</c:f>
              <c:strCache>
                <c:ptCount val="4"/>
                <c:pt idx="0">
                  <c:v>16/15</c:v>
                </c:pt>
                <c:pt idx="1">
                  <c:v>17/16</c:v>
                </c:pt>
                <c:pt idx="2">
                  <c:v>18/17</c:v>
                </c:pt>
                <c:pt idx="3">
                  <c:v>19/18</c:v>
                </c:pt>
              </c:strCache>
            </c:strRef>
          </c:cat>
          <c:val>
            <c:numRef>
              <c:f>'Variació xifra de negocis'!$D$10:$L$10</c:f>
              <c:numCache>
                <c:formatCode>0.00%</c:formatCode>
                <c:ptCount val="4"/>
                <c:pt idx="0">
                  <c:v>1.9007391763463569E-2</c:v>
                </c:pt>
                <c:pt idx="1">
                  <c:v>8.2901554404145074E-3</c:v>
                </c:pt>
                <c:pt idx="2">
                  <c:v>5.5498458376156218E-2</c:v>
                </c:pt>
                <c:pt idx="3">
                  <c:v>2.3369036027263874E-2</c:v>
                </c:pt>
              </c:numCache>
            </c:numRef>
          </c:val>
          <c:smooth val="0"/>
          <c:extLst>
            <c:ext xmlns:c16="http://schemas.microsoft.com/office/drawing/2014/chart" uri="{C3380CC4-5D6E-409C-BE32-E72D297353CC}">
              <c16:uniqueId val="{00000002-34F2-394E-9C59-B9FB9898E30F}"/>
            </c:ext>
          </c:extLst>
        </c:ser>
        <c:ser>
          <c:idx val="3"/>
          <c:order val="3"/>
          <c:tx>
            <c:strRef>
              <c:f>'Variació xifra de negocis'!$C$11</c:f>
              <c:strCache>
                <c:ptCount val="1"/>
                <c:pt idx="0">
                  <c:v>Neogen</c:v>
                </c:pt>
              </c:strCache>
            </c:strRef>
          </c:tx>
          <c:spPr>
            <a:ln w="28575" cap="rnd">
              <a:solidFill>
                <a:schemeClr val="accent4"/>
              </a:solidFill>
              <a:round/>
            </a:ln>
            <a:effectLst/>
          </c:spPr>
          <c:marker>
            <c:symbol val="none"/>
          </c:marker>
          <c:cat>
            <c:strRef>
              <c:f>'Variació xifra de negocis'!$D$7:$L$7</c:f>
              <c:strCache>
                <c:ptCount val="4"/>
                <c:pt idx="0">
                  <c:v>16/15</c:v>
                </c:pt>
                <c:pt idx="1">
                  <c:v>17/16</c:v>
                </c:pt>
                <c:pt idx="2">
                  <c:v>18/17</c:v>
                </c:pt>
                <c:pt idx="3">
                  <c:v>19/18</c:v>
                </c:pt>
              </c:strCache>
            </c:strRef>
          </c:cat>
          <c:val>
            <c:numRef>
              <c:f>'Variació xifra de negocis'!$D$11:$L$11</c:f>
              <c:numCache>
                <c:formatCode>0.00%</c:formatCode>
                <c:ptCount val="4"/>
                <c:pt idx="0">
                  <c:v>0.13427561837455831</c:v>
                </c:pt>
                <c:pt idx="1">
                  <c:v>0.1277258566978193</c:v>
                </c:pt>
                <c:pt idx="2">
                  <c:v>9.9447513812154692E-2</c:v>
                </c:pt>
                <c:pt idx="3">
                  <c:v>4.0201005025125629E-2</c:v>
                </c:pt>
              </c:numCache>
            </c:numRef>
          </c:val>
          <c:smooth val="0"/>
          <c:extLst>
            <c:ext xmlns:c16="http://schemas.microsoft.com/office/drawing/2014/chart" uri="{C3380CC4-5D6E-409C-BE32-E72D297353CC}">
              <c16:uniqueId val="{00000003-34F2-394E-9C59-B9FB9898E30F}"/>
            </c:ext>
          </c:extLst>
        </c:ser>
        <c:ser>
          <c:idx val="4"/>
          <c:order val="4"/>
          <c:tx>
            <c:strRef>
              <c:f>'Variació xifra de negocis'!$C$12</c:f>
              <c:strCache>
                <c:ptCount val="1"/>
                <c:pt idx="0">
                  <c:v>Phibro</c:v>
                </c:pt>
              </c:strCache>
            </c:strRef>
          </c:tx>
          <c:spPr>
            <a:ln w="28575" cap="rnd">
              <a:solidFill>
                <a:schemeClr val="accent5"/>
              </a:solidFill>
              <a:round/>
            </a:ln>
            <a:effectLst/>
          </c:spPr>
          <c:marker>
            <c:symbol val="none"/>
          </c:marker>
          <c:cat>
            <c:strRef>
              <c:f>'Variació xifra de negocis'!$D$7:$L$7</c:f>
              <c:strCache>
                <c:ptCount val="4"/>
                <c:pt idx="0">
                  <c:v>16/15</c:v>
                </c:pt>
                <c:pt idx="1">
                  <c:v>17/16</c:v>
                </c:pt>
                <c:pt idx="2">
                  <c:v>18/17</c:v>
                </c:pt>
                <c:pt idx="3">
                  <c:v>19/18</c:v>
                </c:pt>
              </c:strCache>
            </c:strRef>
          </c:cat>
          <c:val>
            <c:numRef>
              <c:f>'Variació xifra de negocis'!$D$12:$L$12</c:f>
              <c:numCache>
                <c:formatCode>0.00%</c:formatCode>
                <c:ptCount val="4"/>
                <c:pt idx="0">
                  <c:v>4.0053404539385851E-3</c:v>
                </c:pt>
                <c:pt idx="1">
                  <c:v>1.5957446808510637E-2</c:v>
                </c:pt>
                <c:pt idx="2">
                  <c:v>7.3298429319371722E-2</c:v>
                </c:pt>
                <c:pt idx="3">
                  <c:v>9.7560975609756097E-3</c:v>
                </c:pt>
              </c:numCache>
            </c:numRef>
          </c:val>
          <c:smooth val="0"/>
          <c:extLst>
            <c:ext xmlns:c16="http://schemas.microsoft.com/office/drawing/2014/chart" uri="{C3380CC4-5D6E-409C-BE32-E72D297353CC}">
              <c16:uniqueId val="{00000004-34F2-394E-9C59-B9FB9898E30F}"/>
            </c:ext>
          </c:extLst>
        </c:ser>
        <c:ser>
          <c:idx val="5"/>
          <c:order val="5"/>
          <c:tx>
            <c:strRef>
              <c:f>'Variació xifra de negocis'!$C$13</c:f>
              <c:strCache>
                <c:ptCount val="1"/>
                <c:pt idx="0">
                  <c:v>Hipra</c:v>
                </c:pt>
              </c:strCache>
            </c:strRef>
          </c:tx>
          <c:spPr>
            <a:ln w="28575" cap="rnd">
              <a:solidFill>
                <a:schemeClr val="accent6"/>
              </a:solidFill>
              <a:round/>
            </a:ln>
            <a:effectLst/>
          </c:spPr>
          <c:marker>
            <c:symbol val="none"/>
          </c:marker>
          <c:cat>
            <c:strRef>
              <c:f>'Variació xifra de negocis'!$D$7:$L$7</c:f>
              <c:strCache>
                <c:ptCount val="4"/>
                <c:pt idx="0">
                  <c:v>16/15</c:v>
                </c:pt>
                <c:pt idx="1">
                  <c:v>17/16</c:v>
                </c:pt>
                <c:pt idx="2">
                  <c:v>18/17</c:v>
                </c:pt>
                <c:pt idx="3">
                  <c:v>19/18</c:v>
                </c:pt>
              </c:strCache>
            </c:strRef>
          </c:cat>
          <c:val>
            <c:numRef>
              <c:f>'Variació xifra de negocis'!$D$13:$L$13</c:f>
              <c:numCache>
                <c:formatCode>0.00%</c:formatCode>
                <c:ptCount val="4"/>
                <c:pt idx="0">
                  <c:v>0.11261261261261261</c:v>
                </c:pt>
                <c:pt idx="1">
                  <c:v>0.10931174089068826</c:v>
                </c:pt>
                <c:pt idx="2">
                  <c:v>0.10948905109489052</c:v>
                </c:pt>
                <c:pt idx="3">
                  <c:v>1.9736842105263157E-2</c:v>
                </c:pt>
              </c:numCache>
            </c:numRef>
          </c:val>
          <c:smooth val="0"/>
          <c:extLst>
            <c:ext xmlns:c16="http://schemas.microsoft.com/office/drawing/2014/chart" uri="{C3380CC4-5D6E-409C-BE32-E72D297353CC}">
              <c16:uniqueId val="{00000005-34F2-394E-9C59-B9FB9898E30F}"/>
            </c:ext>
          </c:extLst>
        </c:ser>
        <c:ser>
          <c:idx val="6"/>
          <c:order val="6"/>
          <c:tx>
            <c:strRef>
              <c:f>'Variació xifra de negocis'!$C$14</c:f>
              <c:strCache>
                <c:ptCount val="1"/>
                <c:pt idx="0">
                  <c:v>Mitjana sectorial</c:v>
                </c:pt>
              </c:strCache>
            </c:strRef>
          </c:tx>
          <c:spPr>
            <a:ln w="38100" cap="rnd">
              <a:solidFill>
                <a:schemeClr val="accent1">
                  <a:lumMod val="60000"/>
                </a:schemeClr>
              </a:solidFill>
              <a:round/>
            </a:ln>
            <a:effectLst/>
          </c:spPr>
          <c:marker>
            <c:symbol val="none"/>
          </c:marker>
          <c:cat>
            <c:strRef>
              <c:f>'Variació xifra de negocis'!$D$7:$L$7</c:f>
              <c:strCache>
                <c:ptCount val="4"/>
                <c:pt idx="0">
                  <c:v>16/15</c:v>
                </c:pt>
                <c:pt idx="1">
                  <c:v>17/16</c:v>
                </c:pt>
                <c:pt idx="2">
                  <c:v>18/17</c:v>
                </c:pt>
                <c:pt idx="3">
                  <c:v>19/18</c:v>
                </c:pt>
              </c:strCache>
            </c:strRef>
          </c:cat>
          <c:val>
            <c:numRef>
              <c:f>'Variació xifra de negocis'!$D$14:$L$14</c:f>
              <c:numCache>
                <c:formatCode>0.00%</c:formatCode>
                <c:ptCount val="4"/>
                <c:pt idx="0">
                  <c:v>4.4351073762838415E-2</c:v>
                </c:pt>
                <c:pt idx="1">
                  <c:v>7.8341528833258928E-2</c:v>
                </c:pt>
                <c:pt idx="2">
                  <c:v>9.7212146336407873E-2</c:v>
                </c:pt>
                <c:pt idx="3">
                  <c:v>6.4324171153301218E-2</c:v>
                </c:pt>
              </c:numCache>
            </c:numRef>
          </c:val>
          <c:smooth val="0"/>
          <c:extLst>
            <c:ext xmlns:c16="http://schemas.microsoft.com/office/drawing/2014/chart" uri="{C3380CC4-5D6E-409C-BE32-E72D297353CC}">
              <c16:uniqueId val="{00000006-34F2-394E-9C59-B9FB9898E30F}"/>
            </c:ext>
          </c:extLst>
        </c:ser>
        <c:dLbls>
          <c:showLegendKey val="0"/>
          <c:showVal val="0"/>
          <c:showCatName val="0"/>
          <c:showSerName val="0"/>
          <c:showPercent val="0"/>
          <c:showBubbleSize val="0"/>
        </c:dLbls>
        <c:smooth val="0"/>
        <c:axId val="1255484064"/>
        <c:axId val="1255485744"/>
      </c:lineChart>
      <c:catAx>
        <c:axId val="125548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255485744"/>
        <c:crosses val="autoZero"/>
        <c:auto val="1"/>
        <c:lblAlgn val="ctr"/>
        <c:lblOffset val="100"/>
        <c:noMultiLvlLbl val="0"/>
      </c:catAx>
      <c:valAx>
        <c:axId val="1255485744"/>
        <c:scaling>
          <c:orientation val="minMax"/>
          <c:max val="0.1400000000000000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255484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'Balanç % ver. % hor'!$D$54</c:f>
              <c:strCache>
                <c:ptCount val="1"/>
                <c:pt idx="0">
                  <c:v>PASSIU CORRENT</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'Balanç % ver. % hor'!$B$55:$C$59</c:f>
              <c:numCache>
                <c:formatCode>General</c:formatCode>
                <c:ptCount val="5"/>
                <c:pt idx="0">
                  <c:v>2019</c:v>
                </c:pt>
                <c:pt idx="1">
                  <c:v>2018</c:v>
                </c:pt>
                <c:pt idx="2">
                  <c:v>2017</c:v>
                </c:pt>
                <c:pt idx="3">
                  <c:v>2016</c:v>
                </c:pt>
                <c:pt idx="4">
                  <c:v>2015</c:v>
                </c:pt>
              </c:numCache>
            </c:numRef>
          </c:cat>
          <c:val>
            <c:numRef>
              <c:f>'Balanç % ver. % hor'!$D$55:$D$59</c:f>
              <c:numCache>
                <c:formatCode>0.00%</c:formatCode>
                <c:ptCount val="5"/>
                <c:pt idx="0">
                  <c:v>0.18</c:v>
                </c:pt>
                <c:pt idx="1">
                  <c:v>0.17</c:v>
                </c:pt>
                <c:pt idx="2">
                  <c:v>0.2</c:v>
                </c:pt>
                <c:pt idx="3">
                  <c:v>0.22</c:v>
                </c:pt>
                <c:pt idx="4">
                  <c:v>0.23</c:v>
                </c:pt>
              </c:numCache>
            </c:numRef>
          </c:val>
          <c:extLst>
            <c:ext xmlns:c16="http://schemas.microsoft.com/office/drawing/2014/chart" uri="{C3380CC4-5D6E-409C-BE32-E72D297353CC}">
              <c16:uniqueId val="{00000000-E3AB-EC4E-A8A5-E84749AA07ED}"/>
            </c:ext>
          </c:extLst>
        </c:ser>
        <c:ser>
          <c:idx val="1"/>
          <c:order val="1"/>
          <c:tx>
            <c:strRef>
              <c:f>'Balanç % ver. % hor'!$E$54</c:f>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'Balanç % ver. % hor'!$B$55:$C$59</c:f>
              <c:numCache>
                <c:formatCode>General</c:formatCode>
                <c:ptCount val="5"/>
                <c:pt idx="0">
                  <c:v>2019</c:v>
                </c:pt>
                <c:pt idx="1">
                  <c:v>2018</c:v>
                </c:pt>
                <c:pt idx="2">
                  <c:v>2017</c:v>
                </c:pt>
                <c:pt idx="3">
                  <c:v>2016</c:v>
                </c:pt>
                <c:pt idx="4">
                  <c:v>2015</c:v>
                </c:pt>
              </c:numCache>
            </c:numRef>
          </c:cat>
          <c:val>
            <c:numRef>
              <c:f>'Balanç % ver. % hor'!$E$55:$E$59</c:f>
            </c:numRef>
          </c:val>
          <c:extLst>
            <c:ext xmlns:c16="http://schemas.microsoft.com/office/drawing/2014/chart" uri="{C3380CC4-5D6E-409C-BE32-E72D297353CC}">
              <c16:uniqueId val="{00000001-E3AB-EC4E-A8A5-E84749AA07ED}"/>
            </c:ext>
          </c:extLst>
        </c:ser>
        <c:ser>
          <c:idx val="2"/>
          <c:order val="2"/>
          <c:tx>
            <c:strRef>
              <c:f>'Balanç % ver. % hor'!$F$54</c:f>
              <c:strCache>
                <c:ptCount val="1"/>
                <c:pt idx="0">
                  <c:v>PASSIU NO CORRENT</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'Balanç % ver. % hor'!$B$55:$C$59</c:f>
              <c:numCache>
                <c:formatCode>General</c:formatCode>
                <c:ptCount val="5"/>
                <c:pt idx="0">
                  <c:v>2019</c:v>
                </c:pt>
                <c:pt idx="1">
                  <c:v>2018</c:v>
                </c:pt>
                <c:pt idx="2">
                  <c:v>2017</c:v>
                </c:pt>
                <c:pt idx="3">
                  <c:v>2016</c:v>
                </c:pt>
                <c:pt idx="4">
                  <c:v>2015</c:v>
                </c:pt>
              </c:numCache>
            </c:numRef>
          </c:cat>
          <c:val>
            <c:numRef>
              <c:f>'Balanç % ver. % hor'!$F$55:$F$59</c:f>
              <c:numCache>
                <c:formatCode>0.00%</c:formatCode>
                <c:ptCount val="5"/>
                <c:pt idx="0">
                  <c:v>0.08</c:v>
                </c:pt>
                <c:pt idx="1">
                  <c:v>0.05</c:v>
                </c:pt>
                <c:pt idx="2">
                  <c:v>0.03</c:v>
                </c:pt>
                <c:pt idx="3">
                  <c:v>0.03</c:v>
                </c:pt>
                <c:pt idx="4">
                  <c:v>0.04</c:v>
                </c:pt>
              </c:numCache>
            </c:numRef>
          </c:val>
          <c:extLst>
            <c:ext xmlns:c16="http://schemas.microsoft.com/office/drawing/2014/chart" uri="{C3380CC4-5D6E-409C-BE32-E72D297353CC}">
              <c16:uniqueId val="{00000002-E3AB-EC4E-A8A5-E84749AA07ED}"/>
            </c:ext>
          </c:extLst>
        </c:ser>
        <c:ser>
          <c:idx val="3"/>
          <c:order val="3"/>
          <c:tx>
            <c:strRef>
              <c:f>'Balanç % ver. % hor'!$G$54</c:f>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'Balanç % ver. % hor'!$B$55:$C$59</c:f>
              <c:numCache>
                <c:formatCode>General</c:formatCode>
                <c:ptCount val="5"/>
                <c:pt idx="0">
                  <c:v>2019</c:v>
                </c:pt>
                <c:pt idx="1">
                  <c:v>2018</c:v>
                </c:pt>
                <c:pt idx="2">
                  <c:v>2017</c:v>
                </c:pt>
                <c:pt idx="3">
                  <c:v>2016</c:v>
                </c:pt>
                <c:pt idx="4">
                  <c:v>2015</c:v>
                </c:pt>
              </c:numCache>
            </c:numRef>
          </c:cat>
          <c:val>
            <c:numRef>
              <c:f>'Balanç % ver. % hor'!$G$55:$G$59</c:f>
            </c:numRef>
          </c:val>
          <c:extLst>
            <c:ext xmlns:c16="http://schemas.microsoft.com/office/drawing/2014/chart" uri="{C3380CC4-5D6E-409C-BE32-E72D297353CC}">
              <c16:uniqueId val="{00000003-E3AB-EC4E-A8A5-E84749AA07ED}"/>
            </c:ext>
          </c:extLst>
        </c:ser>
        <c:ser>
          <c:idx val="4"/>
          <c:order val="4"/>
          <c:tx>
            <c:strRef>
              <c:f>'Balanç % ver. % hor'!$H$54</c:f>
              <c:strCache>
                <c:ptCount val="1"/>
                <c:pt idx="0">
                  <c:v>PATRIMONI NET</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'Balanç % ver. % hor'!$B$55:$C$59</c:f>
              <c:numCache>
                <c:formatCode>General</c:formatCode>
                <c:ptCount val="5"/>
                <c:pt idx="0">
                  <c:v>2019</c:v>
                </c:pt>
                <c:pt idx="1">
                  <c:v>2018</c:v>
                </c:pt>
                <c:pt idx="2">
                  <c:v>2017</c:v>
                </c:pt>
                <c:pt idx="3">
                  <c:v>2016</c:v>
                </c:pt>
                <c:pt idx="4">
                  <c:v>2015</c:v>
                </c:pt>
              </c:numCache>
            </c:numRef>
          </c:cat>
          <c:val>
            <c:numRef>
              <c:f>'Balanç % ver. % hor'!$H$55:$H$59</c:f>
              <c:numCache>
                <c:formatCode>0.00%</c:formatCode>
                <c:ptCount val="5"/>
                <c:pt idx="0">
                  <c:v>0.74</c:v>
                </c:pt>
                <c:pt idx="1">
                  <c:v>0.78</c:v>
                </c:pt>
                <c:pt idx="2">
                  <c:v>0.78</c:v>
                </c:pt>
                <c:pt idx="3">
                  <c:v>0.75</c:v>
                </c:pt>
                <c:pt idx="4">
                  <c:v>0.73</c:v>
                </c:pt>
              </c:numCache>
            </c:numRef>
          </c:val>
          <c:extLst>
            <c:ext xmlns:c16="http://schemas.microsoft.com/office/drawing/2014/chart" uri="{C3380CC4-5D6E-409C-BE32-E72D297353CC}">
              <c16:uniqueId val="{00000004-E3AB-EC4E-A8A5-E84749AA07ED}"/>
            </c:ext>
          </c:extLst>
        </c:ser>
        <c:dLbls>
          <c:dLblPos val="ctr"/>
          <c:showLegendKey val="0"/>
          <c:showVal val="1"/>
          <c:showCatName val="0"/>
          <c:showSerName val="0"/>
          <c:showPercent val="0"/>
          <c:showBubbleSize val="0"/>
        </c:dLbls>
        <c:gapWidth val="150"/>
        <c:overlap val="100"/>
        <c:axId val="385712688"/>
        <c:axId val="434129744"/>
      </c:barChart>
      <c:catAx>
        <c:axId val="38571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434129744"/>
        <c:crosses val="autoZero"/>
        <c:auto val="1"/>
        <c:lblAlgn val="ctr"/>
        <c:lblOffset val="100"/>
        <c:noMultiLvlLbl val="0"/>
      </c:catAx>
      <c:valAx>
        <c:axId val="434129744"/>
        <c:scaling>
          <c:orientation val="minMax"/>
          <c:max val="1"/>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85712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'Xifra de negocis'!$F$37</c:f>
              <c:strCache>
                <c:ptCount val="1"/>
                <c:pt idx="0">
                  <c:v>var. 19/15</c:v>
                </c:pt>
              </c:strCache>
            </c:strRef>
          </c:tx>
          <c:spPr>
            <a:solidFill>
              <a:schemeClr val="accent1"/>
            </a:solidFill>
            <a:ln>
              <a:noFill/>
            </a:ln>
            <a:effectLst/>
          </c:spPr>
          <c:invertIfNegative val="0"/>
          <c:dPt>
            <c:idx val="6"/>
            <c:invertIfNegative val="0"/>
            <c:bubble3D val="0"/>
            <c:spPr>
              <a:solidFill>
                <a:srgbClr val="002060"/>
              </a:solidFill>
              <a:ln>
                <a:solidFill>
                  <a:srgbClr val="002060"/>
                </a:solidFill>
              </a:ln>
              <a:effectLst/>
            </c:spPr>
            <c:extLst>
              <c:ext xmlns:c16="http://schemas.microsoft.com/office/drawing/2014/chart" uri="{C3380CC4-5D6E-409C-BE32-E72D297353CC}">
                <c16:uniqueId val="{00000001-9085-8C4C-BE80-97228AE9982D}"/>
              </c:ext>
            </c:extLst>
          </c:dPt>
          <c:cat>
            <c:strRef>
              <c:f>'Xifra de negocis'!$C$38:$C$44</c:f>
              <c:strCache>
                <c:ptCount val="7"/>
                <c:pt idx="0">
                  <c:v>Zoetis</c:v>
                </c:pt>
                <c:pt idx="1">
                  <c:v>IDEXX</c:v>
                </c:pt>
                <c:pt idx="2">
                  <c:v>Virbac</c:v>
                </c:pt>
                <c:pt idx="3">
                  <c:v>Neogen</c:v>
                </c:pt>
                <c:pt idx="4">
                  <c:v>Phibro</c:v>
                </c:pt>
                <c:pt idx="5">
                  <c:v>Hipra</c:v>
                </c:pt>
                <c:pt idx="6">
                  <c:v>Mitjana sectorial</c:v>
                </c:pt>
              </c:strCache>
            </c:strRef>
          </c:cat>
          <c:val>
            <c:numRef>
              <c:f>'Xifra de negocis'!$F$38:$F$44</c:f>
              <c:numCache>
                <c:formatCode>0.00%</c:formatCode>
                <c:ptCount val="7"/>
                <c:pt idx="0">
                  <c:v>0.31374606505771246</c:v>
                </c:pt>
                <c:pt idx="1">
                  <c:v>0.50124843945068664</c:v>
                </c:pt>
                <c:pt idx="2">
                  <c:v>0.10982048574445617</c:v>
                </c:pt>
                <c:pt idx="3">
                  <c:v>0.4628975265017668</c:v>
                </c:pt>
                <c:pt idx="4">
                  <c:v>0.1054739652870494</c:v>
                </c:pt>
                <c:pt idx="5">
                  <c:v>0.3963963963963964</c:v>
                </c:pt>
                <c:pt idx="6">
                  <c:v>0.31512605042016806</c:v>
                </c:pt>
              </c:numCache>
            </c:numRef>
          </c:val>
          <c:extLst>
            <c:ext xmlns:c16="http://schemas.microsoft.com/office/drawing/2014/chart" uri="{C3380CC4-5D6E-409C-BE32-E72D297353CC}">
              <c16:uniqueId val="{00000000-9085-8C4C-BE80-97228AE9982D}"/>
            </c:ext>
          </c:extLst>
        </c:ser>
        <c:dLbls>
          <c:showLegendKey val="0"/>
          <c:showVal val="0"/>
          <c:showCatName val="0"/>
          <c:showSerName val="0"/>
          <c:showPercent val="0"/>
          <c:showBubbleSize val="0"/>
        </c:dLbls>
        <c:gapWidth val="219"/>
        <c:overlap val="-27"/>
        <c:axId val="1256121808"/>
        <c:axId val="1256127168"/>
      </c:barChart>
      <c:catAx>
        <c:axId val="125612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256127168"/>
        <c:crosses val="autoZero"/>
        <c:auto val="1"/>
        <c:lblAlgn val="ctr"/>
        <c:lblOffset val="100"/>
        <c:noMultiLvlLbl val="0"/>
      </c:catAx>
      <c:valAx>
        <c:axId val="12561271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2561218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'Resultats d''explotació'!$D$6</c:f>
              <c:strCache>
                <c:ptCount val="1"/>
                <c:pt idx="0">
                  <c:v>2015</c:v>
                </c:pt>
              </c:strCache>
            </c:strRef>
          </c:tx>
          <c:spPr>
            <a:solidFill>
              <a:schemeClr val="accent1"/>
            </a:solidFill>
            <a:ln>
              <a:noFill/>
            </a:ln>
            <a:effectLst/>
          </c:spPr>
          <c:invertIfNegative val="0"/>
          <c:cat>
            <c:strRef>
              <c:f>'Resultats d''explotació'!$C$7:$C$13</c:f>
              <c:strCache>
                <c:ptCount val="7"/>
                <c:pt idx="0">
                  <c:v>Zoetis</c:v>
                </c:pt>
                <c:pt idx="1">
                  <c:v>IDEXX</c:v>
                </c:pt>
                <c:pt idx="2">
                  <c:v>Virbac</c:v>
                </c:pt>
                <c:pt idx="3">
                  <c:v>Neogen</c:v>
                </c:pt>
                <c:pt idx="4">
                  <c:v>Phibro</c:v>
                </c:pt>
                <c:pt idx="5">
                  <c:v>Hipra</c:v>
                </c:pt>
                <c:pt idx="6">
                  <c:v>Mitjana sectorial</c:v>
                </c:pt>
              </c:strCache>
            </c:strRef>
          </c:cat>
          <c:val>
            <c:numRef>
              <c:f>'Resultats d''explotació'!$D$7:$D$13</c:f>
              <c:numCache>
                <c:formatCode>General</c:formatCode>
                <c:ptCount val="7"/>
                <c:pt idx="0">
                  <c:v>421</c:v>
                </c:pt>
                <c:pt idx="1">
                  <c:v>300</c:v>
                </c:pt>
                <c:pt idx="2">
                  <c:v>17</c:v>
                </c:pt>
                <c:pt idx="3">
                  <c:v>53</c:v>
                </c:pt>
                <c:pt idx="4">
                  <c:v>88</c:v>
                </c:pt>
                <c:pt idx="5">
                  <c:v>41</c:v>
                </c:pt>
                <c:pt idx="6" formatCode="0">
                  <c:v>153.33333333333334</c:v>
                </c:pt>
              </c:numCache>
            </c:numRef>
          </c:val>
          <c:extLst>
            <c:ext xmlns:c16="http://schemas.microsoft.com/office/drawing/2014/chart" uri="{C3380CC4-5D6E-409C-BE32-E72D297353CC}">
              <c16:uniqueId val="{00000000-9B62-C549-B6C9-69A546588309}"/>
            </c:ext>
          </c:extLst>
        </c:ser>
        <c:ser>
          <c:idx val="1"/>
          <c:order val="1"/>
          <c:tx>
            <c:strRef>
              <c:f>'Resultats d''explotació'!$E$6</c:f>
              <c:strCache>
                <c:ptCount val="1"/>
                <c:pt idx="0">
                  <c:v>2016</c:v>
                </c:pt>
              </c:strCache>
            </c:strRef>
          </c:tx>
          <c:spPr>
            <a:solidFill>
              <a:schemeClr val="accent2"/>
            </a:solidFill>
            <a:ln>
              <a:noFill/>
            </a:ln>
            <a:effectLst/>
          </c:spPr>
          <c:invertIfNegative val="0"/>
          <c:cat>
            <c:strRef>
              <c:f>'Resultats d''explotació'!$C$7:$C$13</c:f>
              <c:strCache>
                <c:ptCount val="7"/>
                <c:pt idx="0">
                  <c:v>Zoetis</c:v>
                </c:pt>
                <c:pt idx="1">
                  <c:v>IDEXX</c:v>
                </c:pt>
                <c:pt idx="2">
                  <c:v>Virbac</c:v>
                </c:pt>
                <c:pt idx="3">
                  <c:v>Neogen</c:v>
                </c:pt>
                <c:pt idx="4">
                  <c:v>Phibro</c:v>
                </c:pt>
                <c:pt idx="5">
                  <c:v>Hipra</c:v>
                </c:pt>
                <c:pt idx="6">
                  <c:v>Mitjana sectorial</c:v>
                </c:pt>
              </c:strCache>
            </c:strRef>
          </c:cat>
          <c:val>
            <c:numRef>
              <c:f>'Resultats d''explotació'!$E$7:$E$13</c:f>
              <c:numCache>
                <c:formatCode>General</c:formatCode>
                <c:ptCount val="7"/>
                <c:pt idx="0">
                  <c:v>1062</c:v>
                </c:pt>
                <c:pt idx="1">
                  <c:v>350</c:v>
                </c:pt>
                <c:pt idx="2">
                  <c:v>59</c:v>
                </c:pt>
                <c:pt idx="3">
                  <c:v>56</c:v>
                </c:pt>
                <c:pt idx="4">
                  <c:v>86</c:v>
                </c:pt>
                <c:pt idx="5">
                  <c:v>39</c:v>
                </c:pt>
                <c:pt idx="6" formatCode="0">
                  <c:v>275.33333333333331</c:v>
                </c:pt>
              </c:numCache>
            </c:numRef>
          </c:val>
          <c:extLst>
            <c:ext xmlns:c16="http://schemas.microsoft.com/office/drawing/2014/chart" uri="{C3380CC4-5D6E-409C-BE32-E72D297353CC}">
              <c16:uniqueId val="{00000001-9B62-C549-B6C9-69A546588309}"/>
            </c:ext>
          </c:extLst>
        </c:ser>
        <c:ser>
          <c:idx val="2"/>
          <c:order val="2"/>
          <c:tx>
            <c:strRef>
              <c:f>'Resultats d''explotació'!$F$6</c:f>
              <c:strCache>
                <c:ptCount val="1"/>
                <c:pt idx="0">
                  <c:v>2017</c:v>
                </c:pt>
              </c:strCache>
            </c:strRef>
          </c:tx>
          <c:spPr>
            <a:solidFill>
              <a:schemeClr val="accent3"/>
            </a:solidFill>
            <a:ln>
              <a:noFill/>
            </a:ln>
            <a:effectLst/>
          </c:spPr>
          <c:invertIfNegative val="0"/>
          <c:cat>
            <c:strRef>
              <c:f>'Resultats d''explotació'!$C$7:$C$13</c:f>
              <c:strCache>
                <c:ptCount val="7"/>
                <c:pt idx="0">
                  <c:v>Zoetis</c:v>
                </c:pt>
                <c:pt idx="1">
                  <c:v>IDEXX</c:v>
                </c:pt>
                <c:pt idx="2">
                  <c:v>Virbac</c:v>
                </c:pt>
                <c:pt idx="3">
                  <c:v>Neogen</c:v>
                </c:pt>
                <c:pt idx="4">
                  <c:v>Phibro</c:v>
                </c:pt>
                <c:pt idx="5">
                  <c:v>Hipra</c:v>
                </c:pt>
                <c:pt idx="6">
                  <c:v>Mitjana sectorial</c:v>
                </c:pt>
              </c:strCache>
            </c:strRef>
          </c:cat>
          <c:val>
            <c:numRef>
              <c:f>'Resultats d''explotació'!$F$7:$F$13</c:f>
              <c:numCache>
                <c:formatCode>General</c:formatCode>
                <c:ptCount val="7"/>
                <c:pt idx="0">
                  <c:v>1350</c:v>
                </c:pt>
                <c:pt idx="1">
                  <c:v>413</c:v>
                </c:pt>
                <c:pt idx="2">
                  <c:v>45</c:v>
                </c:pt>
                <c:pt idx="3">
                  <c:v>65</c:v>
                </c:pt>
                <c:pt idx="4">
                  <c:v>98</c:v>
                </c:pt>
                <c:pt idx="5">
                  <c:v>49</c:v>
                </c:pt>
                <c:pt idx="6" formatCode="0">
                  <c:v>336.66666666666669</c:v>
                </c:pt>
              </c:numCache>
            </c:numRef>
          </c:val>
          <c:extLst>
            <c:ext xmlns:c16="http://schemas.microsoft.com/office/drawing/2014/chart" uri="{C3380CC4-5D6E-409C-BE32-E72D297353CC}">
              <c16:uniqueId val="{00000002-9B62-C549-B6C9-69A546588309}"/>
            </c:ext>
          </c:extLst>
        </c:ser>
        <c:ser>
          <c:idx val="3"/>
          <c:order val="3"/>
          <c:tx>
            <c:strRef>
              <c:f>'Resultats d''explotació'!$G$6</c:f>
              <c:strCache>
                <c:ptCount val="1"/>
                <c:pt idx="0">
                  <c:v>2018</c:v>
                </c:pt>
              </c:strCache>
            </c:strRef>
          </c:tx>
          <c:spPr>
            <a:solidFill>
              <a:schemeClr val="accent4"/>
            </a:solidFill>
            <a:ln>
              <a:noFill/>
            </a:ln>
            <a:effectLst/>
          </c:spPr>
          <c:invertIfNegative val="0"/>
          <c:cat>
            <c:strRef>
              <c:f>'Resultats d''explotació'!$C$7:$C$13</c:f>
              <c:strCache>
                <c:ptCount val="7"/>
                <c:pt idx="0">
                  <c:v>Zoetis</c:v>
                </c:pt>
                <c:pt idx="1">
                  <c:v>IDEXX</c:v>
                </c:pt>
                <c:pt idx="2">
                  <c:v>Virbac</c:v>
                </c:pt>
                <c:pt idx="3">
                  <c:v>Neogen</c:v>
                </c:pt>
                <c:pt idx="4">
                  <c:v>Phibro</c:v>
                </c:pt>
                <c:pt idx="5">
                  <c:v>Hipra</c:v>
                </c:pt>
                <c:pt idx="6">
                  <c:v>Mitjana sectorial</c:v>
                </c:pt>
              </c:strCache>
            </c:strRef>
          </c:cat>
          <c:val>
            <c:numRef>
              <c:f>'Resultats d''explotació'!$G$7:$G$13</c:f>
              <c:numCache>
                <c:formatCode>General</c:formatCode>
                <c:ptCount val="7"/>
                <c:pt idx="0">
                  <c:v>1484</c:v>
                </c:pt>
                <c:pt idx="1">
                  <c:v>491</c:v>
                </c:pt>
                <c:pt idx="2">
                  <c:v>48</c:v>
                </c:pt>
                <c:pt idx="3">
                  <c:v>70</c:v>
                </c:pt>
                <c:pt idx="4">
                  <c:v>99</c:v>
                </c:pt>
                <c:pt idx="5">
                  <c:v>48</c:v>
                </c:pt>
                <c:pt idx="6" formatCode="0">
                  <c:v>373.33333333333331</c:v>
                </c:pt>
              </c:numCache>
            </c:numRef>
          </c:val>
          <c:extLst>
            <c:ext xmlns:c16="http://schemas.microsoft.com/office/drawing/2014/chart" uri="{C3380CC4-5D6E-409C-BE32-E72D297353CC}">
              <c16:uniqueId val="{00000003-9B62-C549-B6C9-69A546588309}"/>
            </c:ext>
          </c:extLst>
        </c:ser>
        <c:ser>
          <c:idx val="4"/>
          <c:order val="4"/>
          <c:tx>
            <c:strRef>
              <c:f>'Resultats d''explotació'!$H$6</c:f>
              <c:strCache>
                <c:ptCount val="1"/>
                <c:pt idx="0">
                  <c:v>2019</c:v>
                </c:pt>
              </c:strCache>
            </c:strRef>
          </c:tx>
          <c:spPr>
            <a:solidFill>
              <a:schemeClr val="accent5"/>
            </a:solidFill>
            <a:ln>
              <a:noFill/>
            </a:ln>
            <a:effectLst/>
          </c:spPr>
          <c:invertIfNegative val="0"/>
          <c:cat>
            <c:strRef>
              <c:f>'Resultats d''explotació'!$C$7:$C$13</c:f>
              <c:strCache>
                <c:ptCount val="7"/>
                <c:pt idx="0">
                  <c:v>Zoetis</c:v>
                </c:pt>
                <c:pt idx="1">
                  <c:v>IDEXX</c:v>
                </c:pt>
                <c:pt idx="2">
                  <c:v>Virbac</c:v>
                </c:pt>
                <c:pt idx="3">
                  <c:v>Neogen</c:v>
                </c:pt>
                <c:pt idx="4">
                  <c:v>Phibro</c:v>
                </c:pt>
                <c:pt idx="5">
                  <c:v>Hipra</c:v>
                </c:pt>
                <c:pt idx="6">
                  <c:v>Mitjana sectorial</c:v>
                </c:pt>
              </c:strCache>
            </c:strRef>
          </c:cat>
          <c:val>
            <c:numRef>
              <c:f>'Resultats d''explotació'!$H$7:$H$13</c:f>
              <c:numCache>
                <c:formatCode>General</c:formatCode>
                <c:ptCount val="7"/>
                <c:pt idx="0">
                  <c:v>1578</c:v>
                </c:pt>
                <c:pt idx="1">
                  <c:v>553</c:v>
                </c:pt>
                <c:pt idx="2">
                  <c:v>87</c:v>
                </c:pt>
                <c:pt idx="3">
                  <c:v>68</c:v>
                </c:pt>
                <c:pt idx="4">
                  <c:v>83</c:v>
                </c:pt>
                <c:pt idx="5">
                  <c:v>53</c:v>
                </c:pt>
                <c:pt idx="6" formatCode="0">
                  <c:v>403.66666666666669</c:v>
                </c:pt>
              </c:numCache>
            </c:numRef>
          </c:val>
          <c:extLst>
            <c:ext xmlns:c16="http://schemas.microsoft.com/office/drawing/2014/chart" uri="{C3380CC4-5D6E-409C-BE32-E72D297353CC}">
              <c16:uniqueId val="{00000004-9B62-C549-B6C9-69A546588309}"/>
            </c:ext>
          </c:extLst>
        </c:ser>
        <c:dLbls>
          <c:showLegendKey val="0"/>
          <c:showVal val="0"/>
          <c:showCatName val="0"/>
          <c:showSerName val="0"/>
          <c:showPercent val="0"/>
          <c:showBubbleSize val="0"/>
        </c:dLbls>
        <c:gapWidth val="182"/>
        <c:axId val="1271409216"/>
        <c:axId val="1271410896"/>
      </c:barChart>
      <c:catAx>
        <c:axId val="127140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271410896"/>
        <c:crosses val="autoZero"/>
        <c:auto val="1"/>
        <c:lblAlgn val="ctr"/>
        <c:lblOffset val="100"/>
        <c:noMultiLvlLbl val="0"/>
      </c:catAx>
      <c:valAx>
        <c:axId val="1271410896"/>
        <c:scaling>
          <c:orientation val="minMax"/>
          <c:max val="16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271409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7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'Resultats d''explotació'!$D$6</c:f>
              <c:strCache>
                <c:ptCount val="1"/>
                <c:pt idx="0">
                  <c:v>2015</c:v>
                </c:pt>
              </c:strCache>
            </c:strRef>
          </c:tx>
          <c:spPr>
            <a:solidFill>
              <a:schemeClr val="accent1"/>
            </a:solidFill>
            <a:ln>
              <a:noFill/>
            </a:ln>
            <a:effectLst/>
          </c:spPr>
          <c:invertIfNegative val="0"/>
          <c:cat>
            <c:strRef>
              <c:f>'Resultats d''explotació'!$C$7:$C$13</c:f>
              <c:strCache>
                <c:ptCount val="7"/>
                <c:pt idx="0">
                  <c:v>Zoetis</c:v>
                </c:pt>
                <c:pt idx="1">
                  <c:v>IDEXX</c:v>
                </c:pt>
                <c:pt idx="2">
                  <c:v>Virbac</c:v>
                </c:pt>
                <c:pt idx="3">
                  <c:v>Neogen</c:v>
                </c:pt>
                <c:pt idx="4">
                  <c:v>Phibro</c:v>
                </c:pt>
                <c:pt idx="5">
                  <c:v>Hipra</c:v>
                </c:pt>
                <c:pt idx="6">
                  <c:v>Mitjana sectorial</c:v>
                </c:pt>
              </c:strCache>
            </c:strRef>
          </c:cat>
          <c:val>
            <c:numRef>
              <c:f>'Resultats d''explotació'!$D$7:$D$13</c:f>
              <c:numCache>
                <c:formatCode>General</c:formatCode>
                <c:ptCount val="7"/>
                <c:pt idx="0">
                  <c:v>421</c:v>
                </c:pt>
                <c:pt idx="1">
                  <c:v>300</c:v>
                </c:pt>
                <c:pt idx="2">
                  <c:v>17</c:v>
                </c:pt>
                <c:pt idx="3">
                  <c:v>53</c:v>
                </c:pt>
                <c:pt idx="4">
                  <c:v>88</c:v>
                </c:pt>
                <c:pt idx="5">
                  <c:v>41</c:v>
                </c:pt>
                <c:pt idx="6" formatCode="0">
                  <c:v>153.33333333333334</c:v>
                </c:pt>
              </c:numCache>
            </c:numRef>
          </c:val>
          <c:extLst>
            <c:ext xmlns:c16="http://schemas.microsoft.com/office/drawing/2014/chart" uri="{C3380CC4-5D6E-409C-BE32-E72D297353CC}">
              <c16:uniqueId val="{00000000-38A2-8D4A-BB84-3AD2C9C4F465}"/>
            </c:ext>
          </c:extLst>
        </c:ser>
        <c:ser>
          <c:idx val="1"/>
          <c:order val="1"/>
          <c:tx>
            <c:strRef>
              <c:f>'Resultats d''explotació'!$E$6</c:f>
              <c:strCache>
                <c:ptCount val="1"/>
                <c:pt idx="0">
                  <c:v>2016</c:v>
                </c:pt>
              </c:strCache>
            </c:strRef>
          </c:tx>
          <c:spPr>
            <a:solidFill>
              <a:schemeClr val="accent2"/>
            </a:solidFill>
            <a:ln>
              <a:noFill/>
            </a:ln>
            <a:effectLst/>
          </c:spPr>
          <c:invertIfNegative val="0"/>
          <c:cat>
            <c:strRef>
              <c:f>'Resultats d''explotació'!$C$7:$C$13</c:f>
              <c:strCache>
                <c:ptCount val="7"/>
                <c:pt idx="0">
                  <c:v>Zoetis</c:v>
                </c:pt>
                <c:pt idx="1">
                  <c:v>IDEXX</c:v>
                </c:pt>
                <c:pt idx="2">
                  <c:v>Virbac</c:v>
                </c:pt>
                <c:pt idx="3">
                  <c:v>Neogen</c:v>
                </c:pt>
                <c:pt idx="4">
                  <c:v>Phibro</c:v>
                </c:pt>
                <c:pt idx="5">
                  <c:v>Hipra</c:v>
                </c:pt>
                <c:pt idx="6">
                  <c:v>Mitjana sectorial</c:v>
                </c:pt>
              </c:strCache>
            </c:strRef>
          </c:cat>
          <c:val>
            <c:numRef>
              <c:f>'Resultats d''explotació'!$E$7:$E$13</c:f>
              <c:numCache>
                <c:formatCode>General</c:formatCode>
                <c:ptCount val="7"/>
                <c:pt idx="0">
                  <c:v>1062</c:v>
                </c:pt>
                <c:pt idx="1">
                  <c:v>350</c:v>
                </c:pt>
                <c:pt idx="2">
                  <c:v>59</c:v>
                </c:pt>
                <c:pt idx="3">
                  <c:v>56</c:v>
                </c:pt>
                <c:pt idx="4">
                  <c:v>86</c:v>
                </c:pt>
                <c:pt idx="5">
                  <c:v>39</c:v>
                </c:pt>
                <c:pt idx="6" formatCode="0">
                  <c:v>275.33333333333331</c:v>
                </c:pt>
              </c:numCache>
            </c:numRef>
          </c:val>
          <c:extLst>
            <c:ext xmlns:c16="http://schemas.microsoft.com/office/drawing/2014/chart" uri="{C3380CC4-5D6E-409C-BE32-E72D297353CC}">
              <c16:uniqueId val="{00000001-38A2-8D4A-BB84-3AD2C9C4F465}"/>
            </c:ext>
          </c:extLst>
        </c:ser>
        <c:ser>
          <c:idx val="2"/>
          <c:order val="2"/>
          <c:tx>
            <c:strRef>
              <c:f>'Resultats d''explotació'!$F$6</c:f>
              <c:strCache>
                <c:ptCount val="1"/>
                <c:pt idx="0">
                  <c:v>2017</c:v>
                </c:pt>
              </c:strCache>
            </c:strRef>
          </c:tx>
          <c:spPr>
            <a:solidFill>
              <a:schemeClr val="accent3"/>
            </a:solidFill>
            <a:ln>
              <a:noFill/>
            </a:ln>
            <a:effectLst/>
          </c:spPr>
          <c:invertIfNegative val="0"/>
          <c:cat>
            <c:strRef>
              <c:f>'Resultats d''explotació'!$C$7:$C$13</c:f>
              <c:strCache>
                <c:ptCount val="7"/>
                <c:pt idx="0">
                  <c:v>Zoetis</c:v>
                </c:pt>
                <c:pt idx="1">
                  <c:v>IDEXX</c:v>
                </c:pt>
                <c:pt idx="2">
                  <c:v>Virbac</c:v>
                </c:pt>
                <c:pt idx="3">
                  <c:v>Neogen</c:v>
                </c:pt>
                <c:pt idx="4">
                  <c:v>Phibro</c:v>
                </c:pt>
                <c:pt idx="5">
                  <c:v>Hipra</c:v>
                </c:pt>
                <c:pt idx="6">
                  <c:v>Mitjana sectorial</c:v>
                </c:pt>
              </c:strCache>
            </c:strRef>
          </c:cat>
          <c:val>
            <c:numRef>
              <c:f>'Resultats d''explotació'!$F$7:$F$13</c:f>
              <c:numCache>
                <c:formatCode>General</c:formatCode>
                <c:ptCount val="7"/>
                <c:pt idx="0">
                  <c:v>1350</c:v>
                </c:pt>
                <c:pt idx="1">
                  <c:v>413</c:v>
                </c:pt>
                <c:pt idx="2">
                  <c:v>45</c:v>
                </c:pt>
                <c:pt idx="3">
                  <c:v>65</c:v>
                </c:pt>
                <c:pt idx="4">
                  <c:v>98</c:v>
                </c:pt>
                <c:pt idx="5">
                  <c:v>49</c:v>
                </c:pt>
                <c:pt idx="6" formatCode="0">
                  <c:v>336.66666666666669</c:v>
                </c:pt>
              </c:numCache>
            </c:numRef>
          </c:val>
          <c:extLst>
            <c:ext xmlns:c16="http://schemas.microsoft.com/office/drawing/2014/chart" uri="{C3380CC4-5D6E-409C-BE32-E72D297353CC}">
              <c16:uniqueId val="{00000002-38A2-8D4A-BB84-3AD2C9C4F465}"/>
            </c:ext>
          </c:extLst>
        </c:ser>
        <c:ser>
          <c:idx val="3"/>
          <c:order val="3"/>
          <c:tx>
            <c:strRef>
              <c:f>'Resultats d''explotació'!$G$6</c:f>
              <c:strCache>
                <c:ptCount val="1"/>
                <c:pt idx="0">
                  <c:v>2018</c:v>
                </c:pt>
              </c:strCache>
            </c:strRef>
          </c:tx>
          <c:spPr>
            <a:solidFill>
              <a:schemeClr val="accent4"/>
            </a:solidFill>
            <a:ln>
              <a:noFill/>
            </a:ln>
            <a:effectLst/>
          </c:spPr>
          <c:invertIfNegative val="0"/>
          <c:cat>
            <c:strRef>
              <c:f>'Resultats d''explotació'!$C$7:$C$13</c:f>
              <c:strCache>
                <c:ptCount val="7"/>
                <c:pt idx="0">
                  <c:v>Zoetis</c:v>
                </c:pt>
                <c:pt idx="1">
                  <c:v>IDEXX</c:v>
                </c:pt>
                <c:pt idx="2">
                  <c:v>Virbac</c:v>
                </c:pt>
                <c:pt idx="3">
                  <c:v>Neogen</c:v>
                </c:pt>
                <c:pt idx="4">
                  <c:v>Phibro</c:v>
                </c:pt>
                <c:pt idx="5">
                  <c:v>Hipra</c:v>
                </c:pt>
                <c:pt idx="6">
                  <c:v>Mitjana sectorial</c:v>
                </c:pt>
              </c:strCache>
            </c:strRef>
          </c:cat>
          <c:val>
            <c:numRef>
              <c:f>'Resultats d''explotació'!$G$7:$G$13</c:f>
              <c:numCache>
                <c:formatCode>General</c:formatCode>
                <c:ptCount val="7"/>
                <c:pt idx="0">
                  <c:v>1484</c:v>
                </c:pt>
                <c:pt idx="1">
                  <c:v>491</c:v>
                </c:pt>
                <c:pt idx="2">
                  <c:v>48</c:v>
                </c:pt>
                <c:pt idx="3">
                  <c:v>70</c:v>
                </c:pt>
                <c:pt idx="4">
                  <c:v>99</c:v>
                </c:pt>
                <c:pt idx="5">
                  <c:v>48</c:v>
                </c:pt>
                <c:pt idx="6" formatCode="0">
                  <c:v>373.33333333333331</c:v>
                </c:pt>
              </c:numCache>
            </c:numRef>
          </c:val>
          <c:extLst>
            <c:ext xmlns:c16="http://schemas.microsoft.com/office/drawing/2014/chart" uri="{C3380CC4-5D6E-409C-BE32-E72D297353CC}">
              <c16:uniqueId val="{00000003-38A2-8D4A-BB84-3AD2C9C4F465}"/>
            </c:ext>
          </c:extLst>
        </c:ser>
        <c:ser>
          <c:idx val="4"/>
          <c:order val="4"/>
          <c:tx>
            <c:strRef>
              <c:f>'Resultats d''explotació'!$H$6</c:f>
              <c:strCache>
                <c:ptCount val="1"/>
                <c:pt idx="0">
                  <c:v>2019</c:v>
                </c:pt>
              </c:strCache>
            </c:strRef>
          </c:tx>
          <c:spPr>
            <a:solidFill>
              <a:schemeClr val="accent5"/>
            </a:solidFill>
            <a:ln>
              <a:noFill/>
            </a:ln>
            <a:effectLst/>
          </c:spPr>
          <c:invertIfNegative val="0"/>
          <c:cat>
            <c:strRef>
              <c:f>'Resultats d''explotació'!$C$7:$C$13</c:f>
              <c:strCache>
                <c:ptCount val="7"/>
                <c:pt idx="0">
                  <c:v>Zoetis</c:v>
                </c:pt>
                <c:pt idx="1">
                  <c:v>IDEXX</c:v>
                </c:pt>
                <c:pt idx="2">
                  <c:v>Virbac</c:v>
                </c:pt>
                <c:pt idx="3">
                  <c:v>Neogen</c:v>
                </c:pt>
                <c:pt idx="4">
                  <c:v>Phibro</c:v>
                </c:pt>
                <c:pt idx="5">
                  <c:v>Hipra</c:v>
                </c:pt>
                <c:pt idx="6">
                  <c:v>Mitjana sectorial</c:v>
                </c:pt>
              </c:strCache>
            </c:strRef>
          </c:cat>
          <c:val>
            <c:numRef>
              <c:f>'Resultats d''explotació'!$H$7:$H$13</c:f>
              <c:numCache>
                <c:formatCode>General</c:formatCode>
                <c:ptCount val="7"/>
                <c:pt idx="0">
                  <c:v>1578</c:v>
                </c:pt>
                <c:pt idx="1">
                  <c:v>553</c:v>
                </c:pt>
                <c:pt idx="2">
                  <c:v>87</c:v>
                </c:pt>
                <c:pt idx="3">
                  <c:v>68</c:v>
                </c:pt>
                <c:pt idx="4">
                  <c:v>83</c:v>
                </c:pt>
                <c:pt idx="5">
                  <c:v>53</c:v>
                </c:pt>
                <c:pt idx="6" formatCode="0">
                  <c:v>403.66666666666669</c:v>
                </c:pt>
              </c:numCache>
            </c:numRef>
          </c:val>
          <c:extLst>
            <c:ext xmlns:c16="http://schemas.microsoft.com/office/drawing/2014/chart" uri="{C3380CC4-5D6E-409C-BE32-E72D297353CC}">
              <c16:uniqueId val="{00000004-38A2-8D4A-BB84-3AD2C9C4F465}"/>
            </c:ext>
          </c:extLst>
        </c:ser>
        <c:dLbls>
          <c:showLegendKey val="0"/>
          <c:showVal val="0"/>
          <c:showCatName val="0"/>
          <c:showSerName val="0"/>
          <c:showPercent val="0"/>
          <c:showBubbleSize val="0"/>
        </c:dLbls>
        <c:gapWidth val="219"/>
        <c:overlap val="-27"/>
        <c:axId val="1284640320"/>
        <c:axId val="1274642112"/>
      </c:barChart>
      <c:catAx>
        <c:axId val="128464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274642112"/>
        <c:crosses val="autoZero"/>
        <c:auto val="1"/>
        <c:lblAlgn val="ctr"/>
        <c:lblOffset val="100"/>
        <c:noMultiLvlLbl val="0"/>
      </c:catAx>
      <c:valAx>
        <c:axId val="1274642112"/>
        <c:scaling>
          <c:orientation val="minMax"/>
          <c:max val="1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284640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7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'Resultats d''explotació'!$K$7</c:f>
              <c:strCache>
                <c:ptCount val="1"/>
                <c:pt idx="0">
                  <c:v>Zoetis</c:v>
                </c:pt>
              </c:strCache>
            </c:strRef>
          </c:tx>
          <c:spPr>
            <a:ln w="28575" cap="rnd">
              <a:solidFill>
                <a:schemeClr val="accent1"/>
              </a:solidFill>
              <a:round/>
            </a:ln>
            <a:effectLst/>
          </c:spPr>
          <c:marker>
            <c:symbol val="none"/>
          </c:marker>
          <c:cat>
            <c:strRef>
              <c:f>'Resultats d''explotació'!$L$6:$S$6</c:f>
              <c:strCache>
                <c:ptCount val="4"/>
                <c:pt idx="0">
                  <c:v>16/15</c:v>
                </c:pt>
                <c:pt idx="1">
                  <c:v>17/16</c:v>
                </c:pt>
                <c:pt idx="2">
                  <c:v>18/17</c:v>
                </c:pt>
                <c:pt idx="3">
                  <c:v>19/18</c:v>
                </c:pt>
              </c:strCache>
            </c:strRef>
          </c:cat>
          <c:val>
            <c:numRef>
              <c:f>'Resultats d''explotació'!$L$7:$S$7</c:f>
              <c:numCache>
                <c:formatCode>0.00%</c:formatCode>
                <c:ptCount val="4"/>
                <c:pt idx="0">
                  <c:v>1.5225653206650831</c:v>
                </c:pt>
                <c:pt idx="1">
                  <c:v>0.2711864406779661</c:v>
                </c:pt>
                <c:pt idx="2">
                  <c:v>9.9259259259259255E-2</c:v>
                </c:pt>
                <c:pt idx="3">
                  <c:v>6.3342318059299185E-2</c:v>
                </c:pt>
              </c:numCache>
            </c:numRef>
          </c:val>
          <c:smooth val="0"/>
          <c:extLst>
            <c:ext xmlns:c16="http://schemas.microsoft.com/office/drawing/2014/chart" uri="{C3380CC4-5D6E-409C-BE32-E72D297353CC}">
              <c16:uniqueId val="{00000000-EBCC-1941-AC50-775A05DA4A3A}"/>
            </c:ext>
          </c:extLst>
        </c:ser>
        <c:ser>
          <c:idx val="1"/>
          <c:order val="1"/>
          <c:tx>
            <c:strRef>
              <c:f>'Resultats d''explotació'!$K$8</c:f>
              <c:strCache>
                <c:ptCount val="1"/>
                <c:pt idx="0">
                  <c:v>IDEXX</c:v>
                </c:pt>
              </c:strCache>
            </c:strRef>
          </c:tx>
          <c:spPr>
            <a:ln w="28575" cap="rnd">
              <a:solidFill>
                <a:schemeClr val="accent2"/>
              </a:solidFill>
              <a:round/>
            </a:ln>
            <a:effectLst/>
          </c:spPr>
          <c:marker>
            <c:symbol val="none"/>
          </c:marker>
          <c:cat>
            <c:strRef>
              <c:f>'Resultats d''explotació'!$L$6:$S$6</c:f>
              <c:strCache>
                <c:ptCount val="4"/>
                <c:pt idx="0">
                  <c:v>16/15</c:v>
                </c:pt>
                <c:pt idx="1">
                  <c:v>17/16</c:v>
                </c:pt>
                <c:pt idx="2">
                  <c:v>18/17</c:v>
                </c:pt>
                <c:pt idx="3">
                  <c:v>19/18</c:v>
                </c:pt>
              </c:strCache>
            </c:strRef>
          </c:cat>
          <c:val>
            <c:numRef>
              <c:f>'Resultats d''explotació'!$L$8:$S$8</c:f>
              <c:numCache>
                <c:formatCode>0.00%</c:formatCode>
                <c:ptCount val="4"/>
                <c:pt idx="0">
                  <c:v>0.16666666666666666</c:v>
                </c:pt>
                <c:pt idx="1">
                  <c:v>0.18</c:v>
                </c:pt>
                <c:pt idx="2">
                  <c:v>0.18886198547215496</c:v>
                </c:pt>
                <c:pt idx="3">
                  <c:v>0.12627291242362526</c:v>
                </c:pt>
              </c:numCache>
            </c:numRef>
          </c:val>
          <c:smooth val="0"/>
          <c:extLst>
            <c:ext xmlns:c16="http://schemas.microsoft.com/office/drawing/2014/chart" uri="{C3380CC4-5D6E-409C-BE32-E72D297353CC}">
              <c16:uniqueId val="{00000001-EBCC-1941-AC50-775A05DA4A3A}"/>
            </c:ext>
          </c:extLst>
        </c:ser>
        <c:ser>
          <c:idx val="2"/>
          <c:order val="2"/>
          <c:tx>
            <c:strRef>
              <c:f>'Resultats d''explotació'!$K$9</c:f>
              <c:strCache>
                <c:ptCount val="1"/>
                <c:pt idx="0">
                  <c:v>Virbac</c:v>
                </c:pt>
              </c:strCache>
            </c:strRef>
          </c:tx>
          <c:spPr>
            <a:ln w="28575" cap="rnd">
              <a:solidFill>
                <a:schemeClr val="accent3"/>
              </a:solidFill>
              <a:round/>
            </a:ln>
            <a:effectLst/>
          </c:spPr>
          <c:marker>
            <c:symbol val="none"/>
          </c:marker>
          <c:cat>
            <c:strRef>
              <c:f>'Resultats d''explotació'!$L$6:$S$6</c:f>
              <c:strCache>
                <c:ptCount val="4"/>
                <c:pt idx="0">
                  <c:v>16/15</c:v>
                </c:pt>
                <c:pt idx="1">
                  <c:v>17/16</c:v>
                </c:pt>
                <c:pt idx="2">
                  <c:v>18/17</c:v>
                </c:pt>
                <c:pt idx="3">
                  <c:v>19/18</c:v>
                </c:pt>
              </c:strCache>
            </c:strRef>
          </c:cat>
          <c:val>
            <c:numRef>
              <c:f>'Resultats d''explotació'!$L$9:$S$9</c:f>
              <c:numCache>
                <c:formatCode>0.00%</c:formatCode>
                <c:ptCount val="4"/>
                <c:pt idx="0">
                  <c:v>2.4705882352941178</c:v>
                </c:pt>
                <c:pt idx="1">
                  <c:v>-0.23728813559322035</c:v>
                </c:pt>
                <c:pt idx="2">
                  <c:v>6.6666666666666666E-2</c:v>
                </c:pt>
                <c:pt idx="3">
                  <c:v>0.8125</c:v>
                </c:pt>
              </c:numCache>
            </c:numRef>
          </c:val>
          <c:smooth val="0"/>
          <c:extLst>
            <c:ext xmlns:c16="http://schemas.microsoft.com/office/drawing/2014/chart" uri="{C3380CC4-5D6E-409C-BE32-E72D297353CC}">
              <c16:uniqueId val="{00000002-EBCC-1941-AC50-775A05DA4A3A}"/>
            </c:ext>
          </c:extLst>
        </c:ser>
        <c:ser>
          <c:idx val="3"/>
          <c:order val="3"/>
          <c:tx>
            <c:strRef>
              <c:f>'Resultats d''explotació'!$K$10</c:f>
              <c:strCache>
                <c:ptCount val="1"/>
                <c:pt idx="0">
                  <c:v>Neogen</c:v>
                </c:pt>
              </c:strCache>
            </c:strRef>
          </c:tx>
          <c:spPr>
            <a:ln w="28575" cap="rnd">
              <a:solidFill>
                <a:schemeClr val="accent4"/>
              </a:solidFill>
              <a:round/>
            </a:ln>
            <a:effectLst/>
          </c:spPr>
          <c:marker>
            <c:symbol val="none"/>
          </c:marker>
          <c:cat>
            <c:strRef>
              <c:f>'Resultats d''explotació'!$L$6:$S$6</c:f>
              <c:strCache>
                <c:ptCount val="4"/>
                <c:pt idx="0">
                  <c:v>16/15</c:v>
                </c:pt>
                <c:pt idx="1">
                  <c:v>17/16</c:v>
                </c:pt>
                <c:pt idx="2">
                  <c:v>18/17</c:v>
                </c:pt>
                <c:pt idx="3">
                  <c:v>19/18</c:v>
                </c:pt>
              </c:strCache>
            </c:strRef>
          </c:cat>
          <c:val>
            <c:numRef>
              <c:f>'Resultats d''explotació'!$L$10:$S$10</c:f>
              <c:numCache>
                <c:formatCode>0.00%</c:formatCode>
                <c:ptCount val="4"/>
                <c:pt idx="0">
                  <c:v>5.6603773584905662E-2</c:v>
                </c:pt>
                <c:pt idx="1">
                  <c:v>0.16071428571428573</c:v>
                </c:pt>
                <c:pt idx="2">
                  <c:v>7.6923076923076927E-2</c:v>
                </c:pt>
                <c:pt idx="3">
                  <c:v>-2.8571428571428571E-2</c:v>
                </c:pt>
              </c:numCache>
            </c:numRef>
          </c:val>
          <c:smooth val="0"/>
          <c:extLst>
            <c:ext xmlns:c16="http://schemas.microsoft.com/office/drawing/2014/chart" uri="{C3380CC4-5D6E-409C-BE32-E72D297353CC}">
              <c16:uniqueId val="{00000003-EBCC-1941-AC50-775A05DA4A3A}"/>
            </c:ext>
          </c:extLst>
        </c:ser>
        <c:ser>
          <c:idx val="4"/>
          <c:order val="4"/>
          <c:tx>
            <c:strRef>
              <c:f>'Resultats d''explotació'!$K$11</c:f>
              <c:strCache>
                <c:ptCount val="1"/>
                <c:pt idx="0">
                  <c:v>Phibro</c:v>
                </c:pt>
              </c:strCache>
            </c:strRef>
          </c:tx>
          <c:spPr>
            <a:ln w="28575" cap="rnd">
              <a:solidFill>
                <a:schemeClr val="accent5"/>
              </a:solidFill>
              <a:round/>
            </a:ln>
            <a:effectLst/>
          </c:spPr>
          <c:marker>
            <c:symbol val="none"/>
          </c:marker>
          <c:cat>
            <c:strRef>
              <c:f>'Resultats d''explotació'!$L$6:$S$6</c:f>
              <c:strCache>
                <c:ptCount val="4"/>
                <c:pt idx="0">
                  <c:v>16/15</c:v>
                </c:pt>
                <c:pt idx="1">
                  <c:v>17/16</c:v>
                </c:pt>
                <c:pt idx="2">
                  <c:v>18/17</c:v>
                </c:pt>
                <c:pt idx="3">
                  <c:v>19/18</c:v>
                </c:pt>
              </c:strCache>
            </c:strRef>
          </c:cat>
          <c:val>
            <c:numRef>
              <c:f>'Resultats d''explotació'!$L$11:$S$11</c:f>
              <c:numCache>
                <c:formatCode>0.00%</c:formatCode>
                <c:ptCount val="4"/>
                <c:pt idx="0">
                  <c:v>-2.2727272727272728E-2</c:v>
                </c:pt>
                <c:pt idx="1">
                  <c:v>0.13953488372093023</c:v>
                </c:pt>
                <c:pt idx="2">
                  <c:v>1.020408163265306E-2</c:v>
                </c:pt>
                <c:pt idx="3">
                  <c:v>-0.16161616161616163</c:v>
                </c:pt>
              </c:numCache>
            </c:numRef>
          </c:val>
          <c:smooth val="0"/>
          <c:extLst>
            <c:ext xmlns:c16="http://schemas.microsoft.com/office/drawing/2014/chart" uri="{C3380CC4-5D6E-409C-BE32-E72D297353CC}">
              <c16:uniqueId val="{00000004-EBCC-1941-AC50-775A05DA4A3A}"/>
            </c:ext>
          </c:extLst>
        </c:ser>
        <c:ser>
          <c:idx val="5"/>
          <c:order val="5"/>
          <c:tx>
            <c:strRef>
              <c:f>'Resultats d''explotació'!$K$12</c:f>
              <c:strCache>
                <c:ptCount val="1"/>
                <c:pt idx="0">
                  <c:v>Hipra</c:v>
                </c:pt>
              </c:strCache>
            </c:strRef>
          </c:tx>
          <c:spPr>
            <a:ln w="28575" cap="rnd">
              <a:solidFill>
                <a:schemeClr val="accent6"/>
              </a:solidFill>
              <a:round/>
            </a:ln>
            <a:effectLst/>
          </c:spPr>
          <c:marker>
            <c:symbol val="none"/>
          </c:marker>
          <c:cat>
            <c:strRef>
              <c:f>'Resultats d''explotació'!$L$6:$S$6</c:f>
              <c:strCache>
                <c:ptCount val="4"/>
                <c:pt idx="0">
                  <c:v>16/15</c:v>
                </c:pt>
                <c:pt idx="1">
                  <c:v>17/16</c:v>
                </c:pt>
                <c:pt idx="2">
                  <c:v>18/17</c:v>
                </c:pt>
                <c:pt idx="3">
                  <c:v>19/18</c:v>
                </c:pt>
              </c:strCache>
            </c:strRef>
          </c:cat>
          <c:val>
            <c:numRef>
              <c:f>'Resultats d''explotació'!$L$12:$S$12</c:f>
              <c:numCache>
                <c:formatCode>0.00%</c:formatCode>
                <c:ptCount val="4"/>
                <c:pt idx="0">
                  <c:v>-4.878048780487805E-2</c:v>
                </c:pt>
                <c:pt idx="1">
                  <c:v>0.25641025641025639</c:v>
                </c:pt>
                <c:pt idx="2">
                  <c:v>-2.0408163265306121E-2</c:v>
                </c:pt>
                <c:pt idx="3">
                  <c:v>0.10416666666666667</c:v>
                </c:pt>
              </c:numCache>
            </c:numRef>
          </c:val>
          <c:smooth val="0"/>
          <c:extLst>
            <c:ext xmlns:c16="http://schemas.microsoft.com/office/drawing/2014/chart" uri="{C3380CC4-5D6E-409C-BE32-E72D297353CC}">
              <c16:uniqueId val="{00000005-EBCC-1941-AC50-775A05DA4A3A}"/>
            </c:ext>
          </c:extLst>
        </c:ser>
        <c:ser>
          <c:idx val="6"/>
          <c:order val="6"/>
          <c:tx>
            <c:strRef>
              <c:f>'Resultats d''explotació'!$K$13</c:f>
              <c:strCache>
                <c:ptCount val="1"/>
                <c:pt idx="0">
                  <c:v>Mitjana sectorial</c:v>
                </c:pt>
              </c:strCache>
            </c:strRef>
          </c:tx>
          <c:spPr>
            <a:ln w="28575" cap="rnd">
              <a:solidFill>
                <a:schemeClr val="accent1">
                  <a:lumMod val="60000"/>
                </a:schemeClr>
              </a:solidFill>
              <a:round/>
            </a:ln>
            <a:effectLst/>
          </c:spPr>
          <c:marker>
            <c:symbol val="none"/>
          </c:marker>
          <c:dPt>
            <c:idx val="1"/>
            <c:marker>
              <c:symbol val="none"/>
            </c:marker>
            <c:bubble3D val="0"/>
            <c:spPr>
              <a:ln w="38100" cap="rnd">
                <a:solidFill>
                  <a:schemeClr val="accent1">
                    <a:lumMod val="60000"/>
                  </a:schemeClr>
                </a:solidFill>
                <a:round/>
              </a:ln>
              <a:effectLst/>
            </c:spPr>
            <c:extLst>
              <c:ext xmlns:c16="http://schemas.microsoft.com/office/drawing/2014/chart" uri="{C3380CC4-5D6E-409C-BE32-E72D297353CC}">
                <c16:uniqueId val="{00000007-EBCC-1941-AC50-775A05DA4A3A}"/>
              </c:ext>
            </c:extLst>
          </c:dPt>
          <c:cat>
            <c:strRef>
              <c:f>'Resultats d''explotació'!$L$6:$S$6</c:f>
              <c:strCache>
                <c:ptCount val="4"/>
                <c:pt idx="0">
                  <c:v>16/15</c:v>
                </c:pt>
                <c:pt idx="1">
                  <c:v>17/16</c:v>
                </c:pt>
                <c:pt idx="2">
                  <c:v>18/17</c:v>
                </c:pt>
                <c:pt idx="3">
                  <c:v>19/18</c:v>
                </c:pt>
              </c:strCache>
            </c:strRef>
          </c:cat>
          <c:val>
            <c:numRef>
              <c:f>'Resultats d''explotació'!$L$13:$S$13</c:f>
              <c:numCache>
                <c:formatCode>0.00%</c:formatCode>
                <c:ptCount val="4"/>
                <c:pt idx="0">
                  <c:v>0.79565217391304321</c:v>
                </c:pt>
                <c:pt idx="1">
                  <c:v>0.22276029055690089</c:v>
                </c:pt>
                <c:pt idx="2">
                  <c:v>0.10891089108910879</c:v>
                </c:pt>
                <c:pt idx="3">
                  <c:v>8.12500000000001E-2</c:v>
                </c:pt>
              </c:numCache>
            </c:numRef>
          </c:val>
          <c:smooth val="0"/>
          <c:extLst>
            <c:ext xmlns:c16="http://schemas.microsoft.com/office/drawing/2014/chart" uri="{C3380CC4-5D6E-409C-BE32-E72D297353CC}">
              <c16:uniqueId val="{00000008-EBCC-1941-AC50-775A05DA4A3A}"/>
            </c:ext>
          </c:extLst>
        </c:ser>
        <c:dLbls>
          <c:showLegendKey val="0"/>
          <c:showVal val="0"/>
          <c:showCatName val="0"/>
          <c:showSerName val="0"/>
          <c:showPercent val="0"/>
          <c:showBubbleSize val="0"/>
        </c:dLbls>
        <c:smooth val="0"/>
        <c:axId val="1271201184"/>
        <c:axId val="1271715520"/>
      </c:lineChart>
      <c:catAx>
        <c:axId val="127120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271715520"/>
        <c:crossesAt val="-50"/>
        <c:auto val="1"/>
        <c:lblAlgn val="ctr"/>
        <c:lblOffset val="100"/>
        <c:noMultiLvlLbl val="0"/>
      </c:catAx>
      <c:valAx>
        <c:axId val="1271715520"/>
        <c:scaling>
          <c:orientation val="minMax"/>
          <c:max val="2.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271201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7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'Ràtio de liquiditat'!$D$6</c:f>
              <c:strCache>
                <c:ptCount val="1"/>
                <c:pt idx="0">
                  <c:v>2015</c:v>
                </c:pt>
              </c:strCache>
            </c:strRef>
          </c:tx>
          <c:spPr>
            <a:solidFill>
              <a:schemeClr val="accent1"/>
            </a:solidFill>
            <a:ln>
              <a:noFill/>
            </a:ln>
            <a:effectLst/>
          </c:spPr>
          <c:invertIfNegative val="0"/>
          <c:cat>
            <c:strRef>
              <c:f>'Ràtio de liquiditat'!$C$7:$C$13</c:f>
              <c:strCache>
                <c:ptCount val="7"/>
                <c:pt idx="0">
                  <c:v>Zoetis</c:v>
                </c:pt>
                <c:pt idx="1">
                  <c:v>IDEXX</c:v>
                </c:pt>
                <c:pt idx="2">
                  <c:v>Virbac</c:v>
                </c:pt>
                <c:pt idx="3">
                  <c:v>Neogen</c:v>
                </c:pt>
                <c:pt idx="4">
                  <c:v>Phibro</c:v>
                </c:pt>
                <c:pt idx="5">
                  <c:v>Hipra</c:v>
                </c:pt>
                <c:pt idx="6">
                  <c:v>Mitjana sectorial (*)</c:v>
                </c:pt>
              </c:strCache>
            </c:strRef>
          </c:cat>
          <c:val>
            <c:numRef>
              <c:f>'Ràtio de liquiditat'!$D$7:$D$13</c:f>
              <c:numCache>
                <c:formatCode>General</c:formatCode>
                <c:ptCount val="7"/>
                <c:pt idx="0">
                  <c:v>1.17</c:v>
                </c:pt>
                <c:pt idx="1">
                  <c:v>0.62</c:v>
                </c:pt>
                <c:pt idx="2">
                  <c:v>0.84</c:v>
                </c:pt>
                <c:pt idx="3">
                  <c:v>7.16</c:v>
                </c:pt>
                <c:pt idx="4">
                  <c:v>1.48</c:v>
                </c:pt>
                <c:pt idx="5">
                  <c:v>1.84</c:v>
                </c:pt>
                <c:pt idx="6" formatCode="0.00">
                  <c:v>1.19</c:v>
                </c:pt>
              </c:numCache>
            </c:numRef>
          </c:val>
          <c:extLst>
            <c:ext xmlns:c16="http://schemas.microsoft.com/office/drawing/2014/chart" uri="{C3380CC4-5D6E-409C-BE32-E72D297353CC}">
              <c16:uniqueId val="{00000000-CAA7-EB4E-996F-5052C7F35D52}"/>
            </c:ext>
          </c:extLst>
        </c:ser>
        <c:ser>
          <c:idx val="1"/>
          <c:order val="1"/>
          <c:tx>
            <c:strRef>
              <c:f>'Ràtio de liquiditat'!$E$6</c:f>
              <c:strCache>
                <c:ptCount val="1"/>
                <c:pt idx="0">
                  <c:v>2016</c:v>
                </c:pt>
              </c:strCache>
            </c:strRef>
          </c:tx>
          <c:spPr>
            <a:solidFill>
              <a:schemeClr val="accent2"/>
            </a:solidFill>
            <a:ln>
              <a:noFill/>
            </a:ln>
            <a:effectLst/>
          </c:spPr>
          <c:invertIfNegative val="0"/>
          <c:cat>
            <c:strRef>
              <c:f>'Ràtio de liquiditat'!$C$7:$C$13</c:f>
              <c:strCache>
                <c:ptCount val="7"/>
                <c:pt idx="0">
                  <c:v>Zoetis</c:v>
                </c:pt>
                <c:pt idx="1">
                  <c:v>IDEXX</c:v>
                </c:pt>
                <c:pt idx="2">
                  <c:v>Virbac</c:v>
                </c:pt>
                <c:pt idx="3">
                  <c:v>Neogen</c:v>
                </c:pt>
                <c:pt idx="4">
                  <c:v>Phibro</c:v>
                </c:pt>
                <c:pt idx="5">
                  <c:v>Hipra</c:v>
                </c:pt>
                <c:pt idx="6">
                  <c:v>Mitjana sectorial (*)</c:v>
                </c:pt>
              </c:strCache>
            </c:strRef>
          </c:cat>
          <c:val>
            <c:numRef>
              <c:f>'Ràtio de liquiditat'!$E$7:$E$13</c:f>
              <c:numCache>
                <c:formatCode>General</c:formatCode>
                <c:ptCount val="7"/>
                <c:pt idx="0">
                  <c:v>1.47</c:v>
                </c:pt>
                <c:pt idx="1">
                  <c:v>0.64</c:v>
                </c:pt>
                <c:pt idx="2">
                  <c:v>0.6</c:v>
                </c:pt>
                <c:pt idx="3">
                  <c:v>6.34</c:v>
                </c:pt>
                <c:pt idx="4">
                  <c:v>1.61</c:v>
                </c:pt>
                <c:pt idx="5">
                  <c:v>1.66</c:v>
                </c:pt>
                <c:pt idx="6" formatCode="0.00">
                  <c:v>1.1960000000000002</c:v>
                </c:pt>
              </c:numCache>
            </c:numRef>
          </c:val>
          <c:extLst>
            <c:ext xmlns:c16="http://schemas.microsoft.com/office/drawing/2014/chart" uri="{C3380CC4-5D6E-409C-BE32-E72D297353CC}">
              <c16:uniqueId val="{00000001-CAA7-EB4E-996F-5052C7F35D52}"/>
            </c:ext>
          </c:extLst>
        </c:ser>
        <c:ser>
          <c:idx val="2"/>
          <c:order val="2"/>
          <c:tx>
            <c:strRef>
              <c:f>'Ràtio de liquiditat'!$F$6</c:f>
              <c:strCache>
                <c:ptCount val="1"/>
                <c:pt idx="0">
                  <c:v>2017</c:v>
                </c:pt>
              </c:strCache>
            </c:strRef>
          </c:tx>
          <c:spPr>
            <a:solidFill>
              <a:schemeClr val="accent3"/>
            </a:solidFill>
            <a:ln>
              <a:noFill/>
            </a:ln>
            <a:effectLst/>
          </c:spPr>
          <c:invertIfNegative val="0"/>
          <c:cat>
            <c:strRef>
              <c:f>'Ràtio de liquiditat'!$C$7:$C$13</c:f>
              <c:strCache>
                <c:ptCount val="7"/>
                <c:pt idx="0">
                  <c:v>Zoetis</c:v>
                </c:pt>
                <c:pt idx="1">
                  <c:v>IDEXX</c:v>
                </c:pt>
                <c:pt idx="2">
                  <c:v>Virbac</c:v>
                </c:pt>
                <c:pt idx="3">
                  <c:v>Neogen</c:v>
                </c:pt>
                <c:pt idx="4">
                  <c:v>Phibro</c:v>
                </c:pt>
                <c:pt idx="5">
                  <c:v>Hipra</c:v>
                </c:pt>
                <c:pt idx="6">
                  <c:v>Mitjana sectorial (*)</c:v>
                </c:pt>
              </c:strCache>
            </c:strRef>
          </c:cat>
          <c:val>
            <c:numRef>
              <c:f>'Ràtio de liquiditat'!$F$7:$F$13</c:f>
              <c:numCache>
                <c:formatCode>General</c:formatCode>
                <c:ptCount val="7"/>
                <c:pt idx="0">
                  <c:v>2.34</c:v>
                </c:pt>
                <c:pt idx="1">
                  <c:v>0.7</c:v>
                </c:pt>
                <c:pt idx="2">
                  <c:v>0.66</c:v>
                </c:pt>
                <c:pt idx="3">
                  <c:v>6.11</c:v>
                </c:pt>
                <c:pt idx="4">
                  <c:v>1.75</c:v>
                </c:pt>
                <c:pt idx="5">
                  <c:v>1.6</c:v>
                </c:pt>
                <c:pt idx="6" formatCode="0.00">
                  <c:v>1.41</c:v>
                </c:pt>
              </c:numCache>
            </c:numRef>
          </c:val>
          <c:extLst>
            <c:ext xmlns:c16="http://schemas.microsoft.com/office/drawing/2014/chart" uri="{C3380CC4-5D6E-409C-BE32-E72D297353CC}">
              <c16:uniqueId val="{00000002-CAA7-EB4E-996F-5052C7F35D52}"/>
            </c:ext>
          </c:extLst>
        </c:ser>
        <c:ser>
          <c:idx val="3"/>
          <c:order val="3"/>
          <c:tx>
            <c:strRef>
              <c:f>'Ràtio de liquiditat'!$G$6</c:f>
              <c:strCache>
                <c:ptCount val="1"/>
                <c:pt idx="0">
                  <c:v>2018</c:v>
                </c:pt>
              </c:strCache>
            </c:strRef>
          </c:tx>
          <c:spPr>
            <a:solidFill>
              <a:schemeClr val="accent4"/>
            </a:solidFill>
            <a:ln>
              <a:noFill/>
            </a:ln>
            <a:effectLst/>
          </c:spPr>
          <c:invertIfNegative val="0"/>
          <c:cat>
            <c:strRef>
              <c:f>'Ràtio de liquiditat'!$C$7:$C$13</c:f>
              <c:strCache>
                <c:ptCount val="7"/>
                <c:pt idx="0">
                  <c:v>Zoetis</c:v>
                </c:pt>
                <c:pt idx="1">
                  <c:v>IDEXX</c:v>
                </c:pt>
                <c:pt idx="2">
                  <c:v>Virbac</c:v>
                </c:pt>
                <c:pt idx="3">
                  <c:v>Neogen</c:v>
                </c:pt>
                <c:pt idx="4">
                  <c:v>Phibro</c:v>
                </c:pt>
                <c:pt idx="5">
                  <c:v>Hipra</c:v>
                </c:pt>
                <c:pt idx="6">
                  <c:v>Mitjana sectorial (*)</c:v>
                </c:pt>
              </c:strCache>
            </c:strRef>
          </c:cat>
          <c:val>
            <c:numRef>
              <c:f>'Ràtio de liquiditat'!$G$7:$G$13</c:f>
              <c:numCache>
                <c:formatCode>General</c:formatCode>
                <c:ptCount val="7"/>
                <c:pt idx="0">
                  <c:v>2.2400000000000002</c:v>
                </c:pt>
                <c:pt idx="1">
                  <c:v>0.48</c:v>
                </c:pt>
                <c:pt idx="2">
                  <c:v>0.64</c:v>
                </c:pt>
                <c:pt idx="3">
                  <c:v>7.69</c:v>
                </c:pt>
                <c:pt idx="4">
                  <c:v>1.66</c:v>
                </c:pt>
                <c:pt idx="5">
                  <c:v>1.6</c:v>
                </c:pt>
                <c:pt idx="6" formatCode="0.00">
                  <c:v>1.3240000000000001</c:v>
                </c:pt>
              </c:numCache>
            </c:numRef>
          </c:val>
          <c:extLst>
            <c:ext xmlns:c16="http://schemas.microsoft.com/office/drawing/2014/chart" uri="{C3380CC4-5D6E-409C-BE32-E72D297353CC}">
              <c16:uniqueId val="{00000003-CAA7-EB4E-996F-5052C7F35D52}"/>
            </c:ext>
          </c:extLst>
        </c:ser>
        <c:ser>
          <c:idx val="4"/>
          <c:order val="4"/>
          <c:tx>
            <c:strRef>
              <c:f>'Ràtio de liquiditat'!$H$6</c:f>
              <c:strCache>
                <c:ptCount val="1"/>
                <c:pt idx="0">
                  <c:v>2019</c:v>
                </c:pt>
              </c:strCache>
            </c:strRef>
          </c:tx>
          <c:spPr>
            <a:solidFill>
              <a:schemeClr val="accent5"/>
            </a:solidFill>
            <a:ln>
              <a:noFill/>
            </a:ln>
            <a:effectLst/>
          </c:spPr>
          <c:invertIfNegative val="0"/>
          <c:cat>
            <c:strRef>
              <c:f>'Ràtio de liquiditat'!$C$7:$C$13</c:f>
              <c:strCache>
                <c:ptCount val="7"/>
                <c:pt idx="0">
                  <c:v>Zoetis</c:v>
                </c:pt>
                <c:pt idx="1">
                  <c:v>IDEXX</c:v>
                </c:pt>
                <c:pt idx="2">
                  <c:v>Virbac</c:v>
                </c:pt>
                <c:pt idx="3">
                  <c:v>Neogen</c:v>
                </c:pt>
                <c:pt idx="4">
                  <c:v>Phibro</c:v>
                </c:pt>
                <c:pt idx="5">
                  <c:v>Hipra</c:v>
                </c:pt>
                <c:pt idx="6">
                  <c:v>Mitjana sectorial (*)</c:v>
                </c:pt>
              </c:strCache>
            </c:strRef>
          </c:cat>
          <c:val>
            <c:numRef>
              <c:f>'Ràtio de liquiditat'!$H$7:$H$13</c:f>
              <c:numCache>
                <c:formatCode>General</c:formatCode>
                <c:ptCount val="7"/>
                <c:pt idx="0">
                  <c:v>1.67</c:v>
                </c:pt>
                <c:pt idx="1">
                  <c:v>0.5</c:v>
                </c:pt>
                <c:pt idx="2">
                  <c:v>0.66</c:v>
                </c:pt>
                <c:pt idx="3">
                  <c:v>9.58</c:v>
                </c:pt>
                <c:pt idx="4">
                  <c:v>1.74</c:v>
                </c:pt>
                <c:pt idx="5">
                  <c:v>1.53</c:v>
                </c:pt>
                <c:pt idx="6" formatCode="0.00">
                  <c:v>1.22</c:v>
                </c:pt>
              </c:numCache>
            </c:numRef>
          </c:val>
          <c:extLst>
            <c:ext xmlns:c16="http://schemas.microsoft.com/office/drawing/2014/chart" uri="{C3380CC4-5D6E-409C-BE32-E72D297353CC}">
              <c16:uniqueId val="{00000004-CAA7-EB4E-996F-5052C7F35D52}"/>
            </c:ext>
          </c:extLst>
        </c:ser>
        <c:dLbls>
          <c:showLegendKey val="0"/>
          <c:showVal val="0"/>
          <c:showCatName val="0"/>
          <c:showSerName val="0"/>
          <c:showPercent val="0"/>
          <c:showBubbleSize val="0"/>
        </c:dLbls>
        <c:gapWidth val="219"/>
        <c:overlap val="-27"/>
        <c:axId val="1193427168"/>
        <c:axId val="1273743296"/>
      </c:barChart>
      <c:catAx>
        <c:axId val="119342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273743296"/>
        <c:crosses val="autoZero"/>
        <c:auto val="1"/>
        <c:lblAlgn val="ctr"/>
        <c:lblOffset val="100"/>
        <c:noMultiLvlLbl val="0"/>
      </c:catAx>
      <c:valAx>
        <c:axId val="1273743296"/>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19342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7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'Ràtio endeutament'!$C$8</c:f>
              <c:strCache>
                <c:ptCount val="1"/>
                <c:pt idx="0">
                  <c:v>Zoetis</c:v>
                </c:pt>
              </c:strCache>
            </c:strRef>
          </c:tx>
          <c:spPr>
            <a:ln w="28575" cap="rnd">
              <a:solidFill>
                <a:schemeClr val="accent1"/>
              </a:solidFill>
              <a:round/>
            </a:ln>
            <a:effectLst/>
          </c:spPr>
          <c:marker>
            <c:symbol val="none"/>
          </c:marker>
          <c:cat>
            <c:numRef>
              <c:f>'Ràtio endeutament'!$D$7:$H$7</c:f>
              <c:numCache>
                <c:formatCode>General</c:formatCode>
                <c:ptCount val="5"/>
                <c:pt idx="0">
                  <c:v>2015</c:v>
                </c:pt>
                <c:pt idx="1">
                  <c:v>2016</c:v>
                </c:pt>
                <c:pt idx="2">
                  <c:v>2017</c:v>
                </c:pt>
                <c:pt idx="3">
                  <c:v>2018</c:v>
                </c:pt>
                <c:pt idx="4">
                  <c:v>2019</c:v>
                </c:pt>
              </c:numCache>
            </c:numRef>
          </c:cat>
          <c:val>
            <c:numRef>
              <c:f>'Ràtio endeutament'!$D$8:$H$8</c:f>
              <c:numCache>
                <c:formatCode>General</c:formatCode>
                <c:ptCount val="5"/>
                <c:pt idx="0">
                  <c:v>6.25</c:v>
                </c:pt>
                <c:pt idx="1">
                  <c:v>4.0999999999999996</c:v>
                </c:pt>
                <c:pt idx="2">
                  <c:v>3.81</c:v>
                </c:pt>
                <c:pt idx="3">
                  <c:v>3.93</c:v>
                </c:pt>
                <c:pt idx="4">
                  <c:v>3.26</c:v>
                </c:pt>
              </c:numCache>
            </c:numRef>
          </c:val>
          <c:smooth val="0"/>
          <c:extLst>
            <c:ext xmlns:c16="http://schemas.microsoft.com/office/drawing/2014/chart" uri="{C3380CC4-5D6E-409C-BE32-E72D297353CC}">
              <c16:uniqueId val="{00000000-72A4-704E-947D-7765CC6545B5}"/>
            </c:ext>
          </c:extLst>
        </c:ser>
        <c:ser>
          <c:idx val="1"/>
          <c:order val="1"/>
          <c:tx>
            <c:strRef>
              <c:f>'Ràtio endeutament'!$C$9</c:f>
              <c:strCache>
                <c:ptCount val="1"/>
                <c:pt idx="0">
                  <c:v>IDEXX</c:v>
                </c:pt>
              </c:strCache>
            </c:strRef>
          </c:tx>
          <c:spPr>
            <a:ln w="28575" cap="rnd">
              <a:solidFill>
                <a:schemeClr val="accent2"/>
              </a:solidFill>
              <a:round/>
            </a:ln>
            <a:effectLst/>
          </c:spPr>
          <c:marker>
            <c:symbol val="none"/>
          </c:marker>
          <c:cat>
            <c:numRef>
              <c:f>'Ràtio endeutament'!$D$7:$H$7</c:f>
              <c:numCache>
                <c:formatCode>General</c:formatCode>
                <c:ptCount val="5"/>
                <c:pt idx="0">
                  <c:v>2015</c:v>
                </c:pt>
                <c:pt idx="1">
                  <c:v>2016</c:v>
                </c:pt>
                <c:pt idx="2">
                  <c:v>2017</c:v>
                </c:pt>
                <c:pt idx="3">
                  <c:v>2018</c:v>
                </c:pt>
                <c:pt idx="4">
                  <c:v>2019</c:v>
                </c:pt>
              </c:numCache>
            </c:numRef>
          </c:cat>
          <c:val>
            <c:numRef>
              <c:f>'Ràtio endeutament'!$D$9:$H$9</c:f>
              <c:numCache>
                <c:formatCode>General</c:formatCode>
                <c:ptCount val="5"/>
                <c:pt idx="0">
                  <c:v>-18.559999999999999</c:v>
                </c:pt>
                <c:pt idx="1">
                  <c:v>-15.18</c:v>
                </c:pt>
                <c:pt idx="2">
                  <c:v>-32.15</c:v>
                </c:pt>
                <c:pt idx="3">
                  <c:v>-171.78</c:v>
                </c:pt>
                <c:pt idx="4">
                  <c:v>9.24</c:v>
                </c:pt>
              </c:numCache>
            </c:numRef>
          </c:val>
          <c:smooth val="0"/>
          <c:extLst>
            <c:ext xmlns:c16="http://schemas.microsoft.com/office/drawing/2014/chart" uri="{C3380CC4-5D6E-409C-BE32-E72D297353CC}">
              <c16:uniqueId val="{00000001-72A4-704E-947D-7765CC6545B5}"/>
            </c:ext>
          </c:extLst>
        </c:ser>
        <c:ser>
          <c:idx val="2"/>
          <c:order val="2"/>
          <c:tx>
            <c:strRef>
              <c:f>'Ràtio endeutament'!$C$10</c:f>
              <c:strCache>
                <c:ptCount val="1"/>
                <c:pt idx="0">
                  <c:v>Virbac</c:v>
                </c:pt>
              </c:strCache>
            </c:strRef>
          </c:tx>
          <c:spPr>
            <a:ln w="28575" cap="rnd">
              <a:solidFill>
                <a:schemeClr val="accent3"/>
              </a:solidFill>
              <a:round/>
            </a:ln>
            <a:effectLst/>
          </c:spPr>
          <c:marker>
            <c:symbol val="none"/>
          </c:marker>
          <c:cat>
            <c:numRef>
              <c:f>'Ràtio endeutament'!$D$7:$H$7</c:f>
              <c:numCache>
                <c:formatCode>General</c:formatCode>
                <c:ptCount val="5"/>
                <c:pt idx="0">
                  <c:v>2015</c:v>
                </c:pt>
                <c:pt idx="1">
                  <c:v>2016</c:v>
                </c:pt>
                <c:pt idx="2">
                  <c:v>2017</c:v>
                </c:pt>
                <c:pt idx="3">
                  <c:v>2018</c:v>
                </c:pt>
                <c:pt idx="4">
                  <c:v>2019</c:v>
                </c:pt>
              </c:numCache>
            </c:numRef>
          </c:cat>
          <c:val>
            <c:numRef>
              <c:f>'Ràtio endeutament'!$D$10:$H$10</c:f>
              <c:numCache>
                <c:formatCode>General</c:formatCode>
                <c:ptCount val="5"/>
                <c:pt idx="0">
                  <c:v>1.97</c:v>
                </c:pt>
                <c:pt idx="1">
                  <c:v>1.72</c:v>
                </c:pt>
                <c:pt idx="2">
                  <c:v>1.67</c:v>
                </c:pt>
                <c:pt idx="3">
                  <c:v>1.57</c:v>
                </c:pt>
                <c:pt idx="4">
                  <c:v>1.4</c:v>
                </c:pt>
              </c:numCache>
            </c:numRef>
          </c:val>
          <c:smooth val="0"/>
          <c:extLst>
            <c:ext xmlns:c16="http://schemas.microsoft.com/office/drawing/2014/chart" uri="{C3380CC4-5D6E-409C-BE32-E72D297353CC}">
              <c16:uniqueId val="{00000002-72A4-704E-947D-7765CC6545B5}"/>
            </c:ext>
          </c:extLst>
        </c:ser>
        <c:ser>
          <c:idx val="3"/>
          <c:order val="3"/>
          <c:tx>
            <c:strRef>
              <c:f>'Ràtio endeutament'!$C$11</c:f>
              <c:strCache>
                <c:ptCount val="1"/>
                <c:pt idx="0">
                  <c:v>Neogen</c:v>
                </c:pt>
              </c:strCache>
            </c:strRef>
          </c:tx>
          <c:spPr>
            <a:ln w="28575" cap="rnd">
              <a:solidFill>
                <a:schemeClr val="accent4"/>
              </a:solidFill>
              <a:round/>
            </a:ln>
            <a:effectLst/>
          </c:spPr>
          <c:marker>
            <c:symbol val="none"/>
          </c:marker>
          <c:cat>
            <c:numRef>
              <c:f>'Ràtio endeutament'!$D$7:$H$7</c:f>
              <c:numCache>
                <c:formatCode>General</c:formatCode>
                <c:ptCount val="5"/>
                <c:pt idx="0">
                  <c:v>2015</c:v>
                </c:pt>
                <c:pt idx="1">
                  <c:v>2016</c:v>
                </c:pt>
                <c:pt idx="2">
                  <c:v>2017</c:v>
                </c:pt>
                <c:pt idx="3">
                  <c:v>2018</c:v>
                </c:pt>
                <c:pt idx="4">
                  <c:v>2019</c:v>
                </c:pt>
              </c:numCache>
            </c:numRef>
          </c:cat>
          <c:val>
            <c:numRef>
              <c:f>'Ràtio endeutament'!$D$11:$H$11</c:f>
              <c:numCache>
                <c:formatCode>General</c:formatCode>
                <c:ptCount val="5"/>
                <c:pt idx="0">
                  <c:v>0.12</c:v>
                </c:pt>
                <c:pt idx="1">
                  <c:v>0.11</c:v>
                </c:pt>
                <c:pt idx="2">
                  <c:v>0.12</c:v>
                </c:pt>
                <c:pt idx="3">
                  <c:v>0.1</c:v>
                </c:pt>
                <c:pt idx="4">
                  <c:v>0.09</c:v>
                </c:pt>
              </c:numCache>
            </c:numRef>
          </c:val>
          <c:smooth val="0"/>
          <c:extLst>
            <c:ext xmlns:c16="http://schemas.microsoft.com/office/drawing/2014/chart" uri="{C3380CC4-5D6E-409C-BE32-E72D297353CC}">
              <c16:uniqueId val="{00000003-72A4-704E-947D-7765CC6545B5}"/>
            </c:ext>
          </c:extLst>
        </c:ser>
        <c:ser>
          <c:idx val="4"/>
          <c:order val="4"/>
          <c:tx>
            <c:strRef>
              <c:f>'Ràtio endeutament'!$C$12</c:f>
              <c:strCache>
                <c:ptCount val="1"/>
                <c:pt idx="0">
                  <c:v>Phibro</c:v>
                </c:pt>
              </c:strCache>
            </c:strRef>
          </c:tx>
          <c:spPr>
            <a:ln w="28575" cap="rnd">
              <a:solidFill>
                <a:schemeClr val="accent5"/>
              </a:solidFill>
              <a:round/>
            </a:ln>
            <a:effectLst/>
          </c:spPr>
          <c:marker>
            <c:symbol val="none"/>
          </c:marker>
          <c:cat>
            <c:numRef>
              <c:f>'Ràtio endeutament'!$D$7:$H$7</c:f>
              <c:numCache>
                <c:formatCode>General</c:formatCode>
                <c:ptCount val="5"/>
                <c:pt idx="0">
                  <c:v>2015</c:v>
                </c:pt>
                <c:pt idx="1">
                  <c:v>2016</c:v>
                </c:pt>
                <c:pt idx="2">
                  <c:v>2017</c:v>
                </c:pt>
                <c:pt idx="3">
                  <c:v>2018</c:v>
                </c:pt>
                <c:pt idx="4">
                  <c:v>2019</c:v>
                </c:pt>
              </c:numCache>
            </c:numRef>
          </c:cat>
          <c:val>
            <c:numRef>
              <c:f>'Ràtio endeutament'!$D$12:$H$12</c:f>
              <c:numCache>
                <c:formatCode>General</c:formatCode>
                <c:ptCount val="5"/>
                <c:pt idx="0">
                  <c:v>-1.08</c:v>
                </c:pt>
                <c:pt idx="1">
                  <c:v>5.76</c:v>
                </c:pt>
                <c:pt idx="2">
                  <c:v>3.13</c:v>
                </c:pt>
                <c:pt idx="3">
                  <c:v>2.63</c:v>
                </c:pt>
                <c:pt idx="4">
                  <c:v>2.37</c:v>
                </c:pt>
              </c:numCache>
            </c:numRef>
          </c:val>
          <c:smooth val="0"/>
          <c:extLst>
            <c:ext xmlns:c16="http://schemas.microsoft.com/office/drawing/2014/chart" uri="{C3380CC4-5D6E-409C-BE32-E72D297353CC}">
              <c16:uniqueId val="{00000004-72A4-704E-947D-7765CC6545B5}"/>
            </c:ext>
          </c:extLst>
        </c:ser>
        <c:ser>
          <c:idx val="5"/>
          <c:order val="5"/>
          <c:tx>
            <c:strRef>
              <c:f>'Ràtio endeutament'!$C$13</c:f>
              <c:strCache>
                <c:ptCount val="1"/>
                <c:pt idx="0">
                  <c:v>Hipra</c:v>
                </c:pt>
              </c:strCache>
            </c:strRef>
          </c:tx>
          <c:spPr>
            <a:ln w="28575" cap="rnd">
              <a:solidFill>
                <a:schemeClr val="accent6"/>
              </a:solidFill>
              <a:round/>
            </a:ln>
            <a:effectLst/>
          </c:spPr>
          <c:marker>
            <c:symbol val="none"/>
          </c:marker>
          <c:cat>
            <c:numRef>
              <c:f>'Ràtio endeutament'!$D$7:$H$7</c:f>
              <c:numCache>
                <c:formatCode>General</c:formatCode>
                <c:ptCount val="5"/>
                <c:pt idx="0">
                  <c:v>2015</c:v>
                </c:pt>
                <c:pt idx="1">
                  <c:v>2016</c:v>
                </c:pt>
                <c:pt idx="2">
                  <c:v>2017</c:v>
                </c:pt>
                <c:pt idx="3">
                  <c:v>2018</c:v>
                </c:pt>
                <c:pt idx="4">
                  <c:v>2019</c:v>
                </c:pt>
              </c:numCache>
            </c:numRef>
          </c:cat>
          <c:val>
            <c:numRef>
              <c:f>'Ràtio endeutament'!$D$13:$H$13</c:f>
              <c:numCache>
                <c:formatCode>General</c:formatCode>
                <c:ptCount val="5"/>
                <c:pt idx="0">
                  <c:v>0.37</c:v>
                </c:pt>
                <c:pt idx="1">
                  <c:v>0.34</c:v>
                </c:pt>
                <c:pt idx="2">
                  <c:v>0.28999999999999998</c:v>
                </c:pt>
                <c:pt idx="3">
                  <c:v>0.27</c:v>
                </c:pt>
                <c:pt idx="4">
                  <c:v>0.35</c:v>
                </c:pt>
              </c:numCache>
            </c:numRef>
          </c:val>
          <c:smooth val="0"/>
          <c:extLst>
            <c:ext xmlns:c16="http://schemas.microsoft.com/office/drawing/2014/chart" uri="{C3380CC4-5D6E-409C-BE32-E72D297353CC}">
              <c16:uniqueId val="{00000005-72A4-704E-947D-7765CC6545B5}"/>
            </c:ext>
          </c:extLst>
        </c:ser>
        <c:ser>
          <c:idx val="6"/>
          <c:order val="6"/>
          <c:tx>
            <c:strRef>
              <c:f>'Ràtio endeutament'!$C$14</c:f>
              <c:strCache>
                <c:ptCount val="1"/>
                <c:pt idx="0">
                  <c:v>Mitjana sectorial (*)</c:v>
                </c:pt>
              </c:strCache>
            </c:strRef>
          </c:tx>
          <c:spPr>
            <a:ln w="28575" cap="rnd">
              <a:solidFill>
                <a:schemeClr val="accent1">
                  <a:lumMod val="60000"/>
                </a:schemeClr>
              </a:solidFill>
              <a:round/>
            </a:ln>
            <a:effectLst/>
          </c:spPr>
          <c:marker>
            <c:symbol val="none"/>
          </c:marker>
          <c:cat>
            <c:numRef>
              <c:f>'Ràtio endeutament'!$D$7:$H$7</c:f>
              <c:numCache>
                <c:formatCode>General</c:formatCode>
                <c:ptCount val="5"/>
                <c:pt idx="0">
                  <c:v>2015</c:v>
                </c:pt>
                <c:pt idx="1">
                  <c:v>2016</c:v>
                </c:pt>
                <c:pt idx="2">
                  <c:v>2017</c:v>
                </c:pt>
                <c:pt idx="3">
                  <c:v>2018</c:v>
                </c:pt>
                <c:pt idx="4">
                  <c:v>2019</c:v>
                </c:pt>
              </c:numCache>
            </c:numRef>
          </c:cat>
          <c:val>
            <c:numRef>
              <c:f>'Ràtio endeutament'!$D$14:$H$14</c:f>
              <c:numCache>
                <c:formatCode>0.00</c:formatCode>
                <c:ptCount val="5"/>
                <c:pt idx="0">
                  <c:v>1.526</c:v>
                </c:pt>
                <c:pt idx="1">
                  <c:v>2.4059999999999997</c:v>
                </c:pt>
                <c:pt idx="2">
                  <c:v>1.8039999999999998</c:v>
                </c:pt>
                <c:pt idx="3">
                  <c:v>1.7</c:v>
                </c:pt>
                <c:pt idx="4">
                  <c:v>1.494</c:v>
                </c:pt>
              </c:numCache>
            </c:numRef>
          </c:val>
          <c:smooth val="0"/>
          <c:extLst>
            <c:ext xmlns:c16="http://schemas.microsoft.com/office/drawing/2014/chart" uri="{C3380CC4-5D6E-409C-BE32-E72D297353CC}">
              <c16:uniqueId val="{00000006-72A4-704E-947D-7765CC6545B5}"/>
            </c:ext>
          </c:extLst>
        </c:ser>
        <c:dLbls>
          <c:showLegendKey val="0"/>
          <c:showVal val="0"/>
          <c:showCatName val="0"/>
          <c:showSerName val="0"/>
          <c:showPercent val="0"/>
          <c:showBubbleSize val="0"/>
        </c:dLbls>
        <c:smooth val="0"/>
        <c:axId val="1275024112"/>
        <c:axId val="1274144000"/>
      </c:lineChart>
      <c:catAx>
        <c:axId val="127502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274144000"/>
        <c:crossesAt val="-200"/>
        <c:auto val="1"/>
        <c:lblAlgn val="ctr"/>
        <c:lblOffset val="100"/>
        <c:noMultiLvlLbl val="0"/>
      </c:catAx>
      <c:valAx>
        <c:axId val="1274144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275024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7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'Ràtio endeutament'!$C$8</c:f>
              <c:strCache>
                <c:ptCount val="1"/>
                <c:pt idx="0">
                  <c:v>Zoetis</c:v>
                </c:pt>
              </c:strCache>
            </c:strRef>
          </c:tx>
          <c:spPr>
            <a:ln w="28575" cap="rnd">
              <a:solidFill>
                <a:schemeClr val="accent1"/>
              </a:solidFill>
              <a:round/>
            </a:ln>
            <a:effectLst/>
          </c:spPr>
          <c:marker>
            <c:symbol val="none"/>
          </c:marker>
          <c:cat>
            <c:numRef>
              <c:f>'Ràtio endeutament'!$D$7:$H$7</c:f>
              <c:numCache>
                <c:formatCode>General</c:formatCode>
                <c:ptCount val="5"/>
                <c:pt idx="0">
                  <c:v>2015</c:v>
                </c:pt>
                <c:pt idx="1">
                  <c:v>2016</c:v>
                </c:pt>
                <c:pt idx="2">
                  <c:v>2017</c:v>
                </c:pt>
                <c:pt idx="3">
                  <c:v>2018</c:v>
                </c:pt>
                <c:pt idx="4">
                  <c:v>2019</c:v>
                </c:pt>
              </c:numCache>
            </c:numRef>
          </c:cat>
          <c:val>
            <c:numRef>
              <c:f>'Ràtio endeutament'!$D$8:$H$8</c:f>
              <c:numCache>
                <c:formatCode>General</c:formatCode>
                <c:ptCount val="5"/>
                <c:pt idx="0">
                  <c:v>6.25</c:v>
                </c:pt>
                <c:pt idx="1">
                  <c:v>4.0999999999999996</c:v>
                </c:pt>
                <c:pt idx="2">
                  <c:v>3.81</c:v>
                </c:pt>
                <c:pt idx="3">
                  <c:v>3.93</c:v>
                </c:pt>
                <c:pt idx="4">
                  <c:v>3.26</c:v>
                </c:pt>
              </c:numCache>
            </c:numRef>
          </c:val>
          <c:smooth val="0"/>
          <c:extLst>
            <c:ext xmlns:c16="http://schemas.microsoft.com/office/drawing/2014/chart" uri="{C3380CC4-5D6E-409C-BE32-E72D297353CC}">
              <c16:uniqueId val="{00000000-DB9A-7D48-8BA0-DB479FE5280E}"/>
            </c:ext>
          </c:extLst>
        </c:ser>
        <c:ser>
          <c:idx val="1"/>
          <c:order val="1"/>
          <c:tx>
            <c:strRef>
              <c:f>'Ràtio endeutament'!$C$9</c:f>
              <c:strCache>
                <c:ptCount val="1"/>
                <c:pt idx="0">
                  <c:v>IDEXX</c:v>
                </c:pt>
              </c:strCache>
            </c:strRef>
          </c:tx>
          <c:spPr>
            <a:ln w="28575" cap="rnd">
              <a:solidFill>
                <a:schemeClr val="accent2"/>
              </a:solidFill>
              <a:round/>
            </a:ln>
            <a:effectLst/>
          </c:spPr>
          <c:marker>
            <c:symbol val="none"/>
          </c:marker>
          <c:cat>
            <c:numRef>
              <c:f>'Ràtio endeutament'!$D$7:$H$7</c:f>
              <c:numCache>
                <c:formatCode>General</c:formatCode>
                <c:ptCount val="5"/>
                <c:pt idx="0">
                  <c:v>2015</c:v>
                </c:pt>
                <c:pt idx="1">
                  <c:v>2016</c:v>
                </c:pt>
                <c:pt idx="2">
                  <c:v>2017</c:v>
                </c:pt>
                <c:pt idx="3">
                  <c:v>2018</c:v>
                </c:pt>
                <c:pt idx="4">
                  <c:v>2019</c:v>
                </c:pt>
              </c:numCache>
            </c:numRef>
          </c:cat>
          <c:val>
            <c:numRef>
              <c:f>'Ràtio endeutament'!$D$9:$H$9</c:f>
              <c:numCache>
                <c:formatCode>General</c:formatCode>
                <c:ptCount val="5"/>
                <c:pt idx="0">
                  <c:v>-18.559999999999999</c:v>
                </c:pt>
                <c:pt idx="1">
                  <c:v>-15.18</c:v>
                </c:pt>
                <c:pt idx="2">
                  <c:v>-32.15</c:v>
                </c:pt>
                <c:pt idx="3">
                  <c:v>-171.78</c:v>
                </c:pt>
                <c:pt idx="4">
                  <c:v>9.24</c:v>
                </c:pt>
              </c:numCache>
            </c:numRef>
          </c:val>
          <c:smooth val="0"/>
          <c:extLst>
            <c:ext xmlns:c16="http://schemas.microsoft.com/office/drawing/2014/chart" uri="{C3380CC4-5D6E-409C-BE32-E72D297353CC}">
              <c16:uniqueId val="{00000001-DB9A-7D48-8BA0-DB479FE5280E}"/>
            </c:ext>
          </c:extLst>
        </c:ser>
        <c:ser>
          <c:idx val="2"/>
          <c:order val="2"/>
          <c:tx>
            <c:strRef>
              <c:f>'Ràtio endeutament'!$C$10</c:f>
              <c:strCache>
                <c:ptCount val="1"/>
                <c:pt idx="0">
                  <c:v>Virbac</c:v>
                </c:pt>
              </c:strCache>
            </c:strRef>
          </c:tx>
          <c:spPr>
            <a:ln w="28575" cap="rnd">
              <a:solidFill>
                <a:schemeClr val="accent3"/>
              </a:solidFill>
              <a:round/>
            </a:ln>
            <a:effectLst/>
          </c:spPr>
          <c:marker>
            <c:symbol val="none"/>
          </c:marker>
          <c:cat>
            <c:numRef>
              <c:f>'Ràtio endeutament'!$D$7:$H$7</c:f>
              <c:numCache>
                <c:formatCode>General</c:formatCode>
                <c:ptCount val="5"/>
                <c:pt idx="0">
                  <c:v>2015</c:v>
                </c:pt>
                <c:pt idx="1">
                  <c:v>2016</c:v>
                </c:pt>
                <c:pt idx="2">
                  <c:v>2017</c:v>
                </c:pt>
                <c:pt idx="3">
                  <c:v>2018</c:v>
                </c:pt>
                <c:pt idx="4">
                  <c:v>2019</c:v>
                </c:pt>
              </c:numCache>
            </c:numRef>
          </c:cat>
          <c:val>
            <c:numRef>
              <c:f>'Ràtio endeutament'!$D$10:$H$10</c:f>
              <c:numCache>
                <c:formatCode>General</c:formatCode>
                <c:ptCount val="5"/>
                <c:pt idx="0">
                  <c:v>1.97</c:v>
                </c:pt>
                <c:pt idx="1">
                  <c:v>1.72</c:v>
                </c:pt>
                <c:pt idx="2">
                  <c:v>1.67</c:v>
                </c:pt>
                <c:pt idx="3">
                  <c:v>1.57</c:v>
                </c:pt>
                <c:pt idx="4">
                  <c:v>1.4</c:v>
                </c:pt>
              </c:numCache>
            </c:numRef>
          </c:val>
          <c:smooth val="0"/>
          <c:extLst>
            <c:ext xmlns:c16="http://schemas.microsoft.com/office/drawing/2014/chart" uri="{C3380CC4-5D6E-409C-BE32-E72D297353CC}">
              <c16:uniqueId val="{00000002-DB9A-7D48-8BA0-DB479FE5280E}"/>
            </c:ext>
          </c:extLst>
        </c:ser>
        <c:ser>
          <c:idx val="3"/>
          <c:order val="3"/>
          <c:tx>
            <c:strRef>
              <c:f>'Ràtio endeutament'!$C$11</c:f>
              <c:strCache>
                <c:ptCount val="1"/>
                <c:pt idx="0">
                  <c:v>Neogen</c:v>
                </c:pt>
              </c:strCache>
            </c:strRef>
          </c:tx>
          <c:spPr>
            <a:ln w="28575" cap="rnd">
              <a:solidFill>
                <a:schemeClr val="accent4"/>
              </a:solidFill>
              <a:round/>
            </a:ln>
            <a:effectLst/>
          </c:spPr>
          <c:marker>
            <c:symbol val="none"/>
          </c:marker>
          <c:cat>
            <c:numRef>
              <c:f>'Ràtio endeutament'!$D$7:$H$7</c:f>
              <c:numCache>
                <c:formatCode>General</c:formatCode>
                <c:ptCount val="5"/>
                <c:pt idx="0">
                  <c:v>2015</c:v>
                </c:pt>
                <c:pt idx="1">
                  <c:v>2016</c:v>
                </c:pt>
                <c:pt idx="2">
                  <c:v>2017</c:v>
                </c:pt>
                <c:pt idx="3">
                  <c:v>2018</c:v>
                </c:pt>
                <c:pt idx="4">
                  <c:v>2019</c:v>
                </c:pt>
              </c:numCache>
            </c:numRef>
          </c:cat>
          <c:val>
            <c:numRef>
              <c:f>'Ràtio endeutament'!$D$11:$H$11</c:f>
              <c:numCache>
                <c:formatCode>General</c:formatCode>
                <c:ptCount val="5"/>
                <c:pt idx="0">
                  <c:v>0.12</c:v>
                </c:pt>
                <c:pt idx="1">
                  <c:v>0.11</c:v>
                </c:pt>
                <c:pt idx="2">
                  <c:v>0.12</c:v>
                </c:pt>
                <c:pt idx="3">
                  <c:v>0.1</c:v>
                </c:pt>
                <c:pt idx="4">
                  <c:v>0.09</c:v>
                </c:pt>
              </c:numCache>
            </c:numRef>
          </c:val>
          <c:smooth val="0"/>
          <c:extLst>
            <c:ext xmlns:c16="http://schemas.microsoft.com/office/drawing/2014/chart" uri="{C3380CC4-5D6E-409C-BE32-E72D297353CC}">
              <c16:uniqueId val="{00000003-DB9A-7D48-8BA0-DB479FE5280E}"/>
            </c:ext>
          </c:extLst>
        </c:ser>
        <c:ser>
          <c:idx val="4"/>
          <c:order val="4"/>
          <c:tx>
            <c:strRef>
              <c:f>'Ràtio endeutament'!$C$12</c:f>
              <c:strCache>
                <c:ptCount val="1"/>
                <c:pt idx="0">
                  <c:v>Phibro</c:v>
                </c:pt>
              </c:strCache>
            </c:strRef>
          </c:tx>
          <c:spPr>
            <a:ln w="28575" cap="rnd">
              <a:solidFill>
                <a:schemeClr val="accent5"/>
              </a:solidFill>
              <a:round/>
            </a:ln>
            <a:effectLst/>
          </c:spPr>
          <c:marker>
            <c:symbol val="none"/>
          </c:marker>
          <c:cat>
            <c:numRef>
              <c:f>'Ràtio endeutament'!$D$7:$H$7</c:f>
              <c:numCache>
                <c:formatCode>General</c:formatCode>
                <c:ptCount val="5"/>
                <c:pt idx="0">
                  <c:v>2015</c:v>
                </c:pt>
                <c:pt idx="1">
                  <c:v>2016</c:v>
                </c:pt>
                <c:pt idx="2">
                  <c:v>2017</c:v>
                </c:pt>
                <c:pt idx="3">
                  <c:v>2018</c:v>
                </c:pt>
                <c:pt idx="4">
                  <c:v>2019</c:v>
                </c:pt>
              </c:numCache>
            </c:numRef>
          </c:cat>
          <c:val>
            <c:numRef>
              <c:f>'Ràtio endeutament'!$D$12:$H$12</c:f>
              <c:numCache>
                <c:formatCode>General</c:formatCode>
                <c:ptCount val="5"/>
                <c:pt idx="0">
                  <c:v>-1.08</c:v>
                </c:pt>
                <c:pt idx="1">
                  <c:v>5.76</c:v>
                </c:pt>
                <c:pt idx="2">
                  <c:v>3.13</c:v>
                </c:pt>
                <c:pt idx="3">
                  <c:v>2.63</c:v>
                </c:pt>
                <c:pt idx="4">
                  <c:v>2.37</c:v>
                </c:pt>
              </c:numCache>
            </c:numRef>
          </c:val>
          <c:smooth val="0"/>
          <c:extLst>
            <c:ext xmlns:c16="http://schemas.microsoft.com/office/drawing/2014/chart" uri="{C3380CC4-5D6E-409C-BE32-E72D297353CC}">
              <c16:uniqueId val="{00000004-DB9A-7D48-8BA0-DB479FE5280E}"/>
            </c:ext>
          </c:extLst>
        </c:ser>
        <c:ser>
          <c:idx val="5"/>
          <c:order val="5"/>
          <c:tx>
            <c:strRef>
              <c:f>'Ràtio endeutament'!$C$13</c:f>
              <c:strCache>
                <c:ptCount val="1"/>
                <c:pt idx="0">
                  <c:v>Hipra</c:v>
                </c:pt>
              </c:strCache>
            </c:strRef>
          </c:tx>
          <c:spPr>
            <a:ln w="28575" cap="rnd">
              <a:solidFill>
                <a:schemeClr val="accent6"/>
              </a:solidFill>
              <a:round/>
            </a:ln>
            <a:effectLst/>
          </c:spPr>
          <c:marker>
            <c:symbol val="none"/>
          </c:marker>
          <c:cat>
            <c:numRef>
              <c:f>'Ràtio endeutament'!$D$7:$H$7</c:f>
              <c:numCache>
                <c:formatCode>General</c:formatCode>
                <c:ptCount val="5"/>
                <c:pt idx="0">
                  <c:v>2015</c:v>
                </c:pt>
                <c:pt idx="1">
                  <c:v>2016</c:v>
                </c:pt>
                <c:pt idx="2">
                  <c:v>2017</c:v>
                </c:pt>
                <c:pt idx="3">
                  <c:v>2018</c:v>
                </c:pt>
                <c:pt idx="4">
                  <c:v>2019</c:v>
                </c:pt>
              </c:numCache>
            </c:numRef>
          </c:cat>
          <c:val>
            <c:numRef>
              <c:f>'Ràtio endeutament'!$D$13:$H$13</c:f>
              <c:numCache>
                <c:formatCode>General</c:formatCode>
                <c:ptCount val="5"/>
                <c:pt idx="0">
                  <c:v>0.37</c:v>
                </c:pt>
                <c:pt idx="1">
                  <c:v>0.34</c:v>
                </c:pt>
                <c:pt idx="2">
                  <c:v>0.28999999999999998</c:v>
                </c:pt>
                <c:pt idx="3">
                  <c:v>0.27</c:v>
                </c:pt>
                <c:pt idx="4">
                  <c:v>0.35</c:v>
                </c:pt>
              </c:numCache>
            </c:numRef>
          </c:val>
          <c:smooth val="0"/>
          <c:extLst>
            <c:ext xmlns:c16="http://schemas.microsoft.com/office/drawing/2014/chart" uri="{C3380CC4-5D6E-409C-BE32-E72D297353CC}">
              <c16:uniqueId val="{00000005-DB9A-7D48-8BA0-DB479FE5280E}"/>
            </c:ext>
          </c:extLst>
        </c:ser>
        <c:ser>
          <c:idx val="6"/>
          <c:order val="6"/>
          <c:tx>
            <c:strRef>
              <c:f>'Ràtio endeutament'!$C$14</c:f>
              <c:strCache>
                <c:ptCount val="1"/>
                <c:pt idx="0">
                  <c:v>Mitjana sectorial (*)</c:v>
                </c:pt>
              </c:strCache>
            </c:strRef>
          </c:tx>
          <c:spPr>
            <a:ln w="28575" cap="rnd">
              <a:solidFill>
                <a:schemeClr val="accent1">
                  <a:lumMod val="60000"/>
                </a:schemeClr>
              </a:solidFill>
              <a:round/>
            </a:ln>
            <a:effectLst/>
          </c:spPr>
          <c:marker>
            <c:symbol val="none"/>
          </c:marker>
          <c:cat>
            <c:numRef>
              <c:f>'Ràtio endeutament'!$D$7:$H$7</c:f>
              <c:numCache>
                <c:formatCode>General</c:formatCode>
                <c:ptCount val="5"/>
                <c:pt idx="0">
                  <c:v>2015</c:v>
                </c:pt>
                <c:pt idx="1">
                  <c:v>2016</c:v>
                </c:pt>
                <c:pt idx="2">
                  <c:v>2017</c:v>
                </c:pt>
                <c:pt idx="3">
                  <c:v>2018</c:v>
                </c:pt>
                <c:pt idx="4">
                  <c:v>2019</c:v>
                </c:pt>
              </c:numCache>
            </c:numRef>
          </c:cat>
          <c:val>
            <c:numRef>
              <c:f>'Ràtio endeutament'!$D$14:$H$14</c:f>
              <c:numCache>
                <c:formatCode>0.00</c:formatCode>
                <c:ptCount val="5"/>
                <c:pt idx="0">
                  <c:v>1.526</c:v>
                </c:pt>
                <c:pt idx="1">
                  <c:v>2.4059999999999997</c:v>
                </c:pt>
                <c:pt idx="2">
                  <c:v>1.8039999999999998</c:v>
                </c:pt>
                <c:pt idx="3">
                  <c:v>1.7</c:v>
                </c:pt>
                <c:pt idx="4">
                  <c:v>1.494</c:v>
                </c:pt>
              </c:numCache>
            </c:numRef>
          </c:val>
          <c:smooth val="0"/>
          <c:extLst>
            <c:ext xmlns:c16="http://schemas.microsoft.com/office/drawing/2014/chart" uri="{C3380CC4-5D6E-409C-BE32-E72D297353CC}">
              <c16:uniqueId val="{00000006-DB9A-7D48-8BA0-DB479FE5280E}"/>
            </c:ext>
          </c:extLst>
        </c:ser>
        <c:dLbls>
          <c:showLegendKey val="0"/>
          <c:showVal val="0"/>
          <c:showCatName val="0"/>
          <c:showSerName val="0"/>
          <c:showPercent val="0"/>
          <c:showBubbleSize val="0"/>
        </c:dLbls>
        <c:smooth val="0"/>
        <c:axId val="1320991040"/>
        <c:axId val="1320897680"/>
      </c:lineChart>
      <c:catAx>
        <c:axId val="132099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320897680"/>
        <c:crossesAt val="-30"/>
        <c:auto val="1"/>
        <c:lblAlgn val="ctr"/>
        <c:lblOffset val="100"/>
        <c:noMultiLvlLbl val="0"/>
      </c:catAx>
      <c:valAx>
        <c:axId val="1320897680"/>
        <c:scaling>
          <c:orientation val="minMax"/>
          <c:max val="10"/>
          <c:min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3209910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'Ràtio fons de maniobra'!$C$8</c:f>
              <c:strCache>
                <c:ptCount val="1"/>
                <c:pt idx="0">
                  <c:v>Zoetis</c:v>
                </c:pt>
              </c:strCache>
            </c:strRef>
          </c:tx>
          <c:spPr>
            <a:ln w="28575" cap="rnd">
              <a:solidFill>
                <a:schemeClr val="accent1"/>
              </a:solidFill>
              <a:round/>
            </a:ln>
            <a:effectLst/>
          </c:spPr>
          <c:marker>
            <c:symbol val="none"/>
          </c:marker>
          <c:cat>
            <c:numRef>
              <c:f>'Ràtio fons de maniobra'!$D$7:$H$7</c:f>
              <c:numCache>
                <c:formatCode>General</c:formatCode>
                <c:ptCount val="5"/>
                <c:pt idx="0">
                  <c:v>2015</c:v>
                </c:pt>
                <c:pt idx="1">
                  <c:v>2016</c:v>
                </c:pt>
                <c:pt idx="2">
                  <c:v>2017</c:v>
                </c:pt>
                <c:pt idx="3">
                  <c:v>2018</c:v>
                </c:pt>
                <c:pt idx="4">
                  <c:v>2019</c:v>
                </c:pt>
              </c:numCache>
            </c:numRef>
          </c:cat>
          <c:val>
            <c:numRef>
              <c:f>'Ràtio fons de maniobra'!$D$8:$H$8</c:f>
              <c:numCache>
                <c:formatCode>0.00</c:formatCode>
                <c:ptCount val="5"/>
                <c:pt idx="0">
                  <c:v>2.15</c:v>
                </c:pt>
                <c:pt idx="1">
                  <c:v>3.03</c:v>
                </c:pt>
                <c:pt idx="2">
                  <c:v>3.85</c:v>
                </c:pt>
                <c:pt idx="3">
                  <c:v>3.6</c:v>
                </c:pt>
                <c:pt idx="4">
                  <c:v>2.63</c:v>
                </c:pt>
              </c:numCache>
            </c:numRef>
          </c:val>
          <c:smooth val="0"/>
          <c:extLst>
            <c:ext xmlns:c16="http://schemas.microsoft.com/office/drawing/2014/chart" uri="{C3380CC4-5D6E-409C-BE32-E72D297353CC}">
              <c16:uniqueId val="{00000000-B38D-3549-9D4B-92EBB8A185DA}"/>
            </c:ext>
          </c:extLst>
        </c:ser>
        <c:ser>
          <c:idx val="1"/>
          <c:order val="1"/>
          <c:tx>
            <c:strRef>
              <c:f>'Ràtio fons de maniobra'!$C$9</c:f>
              <c:strCache>
                <c:ptCount val="1"/>
                <c:pt idx="0">
                  <c:v>IDEXX</c:v>
                </c:pt>
              </c:strCache>
            </c:strRef>
          </c:tx>
          <c:spPr>
            <a:ln w="28575" cap="rnd">
              <a:solidFill>
                <a:schemeClr val="accent2"/>
              </a:solidFill>
              <a:round/>
            </a:ln>
            <a:effectLst/>
          </c:spPr>
          <c:marker>
            <c:symbol val="none"/>
          </c:marker>
          <c:cat>
            <c:numRef>
              <c:f>'Ràtio fons de maniobra'!$D$7:$H$7</c:f>
              <c:numCache>
                <c:formatCode>General</c:formatCode>
                <c:ptCount val="5"/>
                <c:pt idx="0">
                  <c:v>2015</c:v>
                </c:pt>
                <c:pt idx="1">
                  <c:v>2016</c:v>
                </c:pt>
                <c:pt idx="2">
                  <c:v>2017</c:v>
                </c:pt>
                <c:pt idx="3">
                  <c:v>2018</c:v>
                </c:pt>
                <c:pt idx="4">
                  <c:v>2019</c:v>
                </c:pt>
              </c:numCache>
            </c:numRef>
          </c:cat>
          <c:val>
            <c:numRef>
              <c:f>'Ràtio fons de maniobra'!$D$9:$H$9</c:f>
              <c:numCache>
                <c:formatCode>0.00</c:formatCode>
                <c:ptCount val="5"/>
                <c:pt idx="0">
                  <c:v>0.96</c:v>
                </c:pt>
                <c:pt idx="1">
                  <c:v>0.9</c:v>
                </c:pt>
                <c:pt idx="2">
                  <c:v>0.97</c:v>
                </c:pt>
                <c:pt idx="3">
                  <c:v>0.85</c:v>
                </c:pt>
                <c:pt idx="4">
                  <c:v>0.94</c:v>
                </c:pt>
              </c:numCache>
            </c:numRef>
          </c:val>
          <c:smooth val="0"/>
          <c:extLst>
            <c:ext xmlns:c16="http://schemas.microsoft.com/office/drawing/2014/chart" uri="{C3380CC4-5D6E-409C-BE32-E72D297353CC}">
              <c16:uniqueId val="{00000001-B38D-3549-9D4B-92EBB8A185DA}"/>
            </c:ext>
          </c:extLst>
        </c:ser>
        <c:ser>
          <c:idx val="2"/>
          <c:order val="2"/>
          <c:tx>
            <c:strRef>
              <c:f>'Ràtio fons de maniobra'!$C$10</c:f>
              <c:strCache>
                <c:ptCount val="1"/>
                <c:pt idx="0">
                  <c:v>Virbac</c:v>
                </c:pt>
              </c:strCache>
            </c:strRef>
          </c:tx>
          <c:spPr>
            <a:ln w="28575" cap="rnd">
              <a:solidFill>
                <a:schemeClr val="accent3"/>
              </a:solidFill>
              <a:round/>
            </a:ln>
            <a:effectLst/>
          </c:spPr>
          <c:marker>
            <c:symbol val="none"/>
          </c:marker>
          <c:cat>
            <c:numRef>
              <c:f>'Ràtio fons de maniobra'!$D$7:$H$7</c:f>
              <c:numCache>
                <c:formatCode>General</c:formatCode>
                <c:ptCount val="5"/>
                <c:pt idx="0">
                  <c:v>2015</c:v>
                </c:pt>
                <c:pt idx="1">
                  <c:v>2016</c:v>
                </c:pt>
                <c:pt idx="2">
                  <c:v>2017</c:v>
                </c:pt>
                <c:pt idx="3">
                  <c:v>2018</c:v>
                </c:pt>
                <c:pt idx="4">
                  <c:v>2019</c:v>
                </c:pt>
              </c:numCache>
            </c:numRef>
          </c:cat>
          <c:val>
            <c:numRef>
              <c:f>'Ràtio fons de maniobra'!$D$10:$H$10</c:f>
              <c:numCache>
                <c:formatCode>0.00</c:formatCode>
                <c:ptCount val="5"/>
                <c:pt idx="0">
                  <c:v>1.34</c:v>
                </c:pt>
                <c:pt idx="1">
                  <c:v>1.1000000000000001</c:v>
                </c:pt>
                <c:pt idx="2">
                  <c:v>1.22</c:v>
                </c:pt>
                <c:pt idx="3">
                  <c:v>1.23</c:v>
                </c:pt>
                <c:pt idx="4">
                  <c:v>1.21</c:v>
                </c:pt>
              </c:numCache>
            </c:numRef>
          </c:val>
          <c:smooth val="0"/>
          <c:extLst>
            <c:ext xmlns:c16="http://schemas.microsoft.com/office/drawing/2014/chart" uri="{C3380CC4-5D6E-409C-BE32-E72D297353CC}">
              <c16:uniqueId val="{00000002-B38D-3549-9D4B-92EBB8A185DA}"/>
            </c:ext>
          </c:extLst>
        </c:ser>
        <c:ser>
          <c:idx val="3"/>
          <c:order val="3"/>
          <c:tx>
            <c:strRef>
              <c:f>'Ràtio fons de maniobra'!$C$11</c:f>
              <c:strCache>
                <c:ptCount val="1"/>
                <c:pt idx="0">
                  <c:v>Neogen</c:v>
                </c:pt>
              </c:strCache>
            </c:strRef>
          </c:tx>
          <c:spPr>
            <a:ln w="28575" cap="rnd">
              <a:solidFill>
                <a:schemeClr val="accent4"/>
              </a:solidFill>
              <a:round/>
            </a:ln>
            <a:effectLst/>
          </c:spPr>
          <c:marker>
            <c:symbol val="none"/>
          </c:marker>
          <c:cat>
            <c:numRef>
              <c:f>'Ràtio fons de maniobra'!$D$7:$H$7</c:f>
              <c:numCache>
                <c:formatCode>General</c:formatCode>
                <c:ptCount val="5"/>
                <c:pt idx="0">
                  <c:v>2015</c:v>
                </c:pt>
                <c:pt idx="1">
                  <c:v>2016</c:v>
                </c:pt>
                <c:pt idx="2">
                  <c:v>2017</c:v>
                </c:pt>
                <c:pt idx="3">
                  <c:v>2018</c:v>
                </c:pt>
                <c:pt idx="4">
                  <c:v>2019</c:v>
                </c:pt>
              </c:numCache>
            </c:numRef>
          </c:cat>
          <c:val>
            <c:numRef>
              <c:f>'Ràtio fons de maniobra'!$D$11:$H$11</c:f>
              <c:numCache>
                <c:formatCode>0.00</c:formatCode>
                <c:ptCount val="5"/>
                <c:pt idx="0">
                  <c:v>9.24</c:v>
                </c:pt>
                <c:pt idx="1">
                  <c:v>8.5500000000000007</c:v>
                </c:pt>
                <c:pt idx="2">
                  <c:v>8.15</c:v>
                </c:pt>
                <c:pt idx="3">
                  <c:v>9.64</c:v>
                </c:pt>
                <c:pt idx="4">
                  <c:v>11.84</c:v>
                </c:pt>
              </c:numCache>
            </c:numRef>
          </c:val>
          <c:smooth val="0"/>
          <c:extLst>
            <c:ext xmlns:c16="http://schemas.microsoft.com/office/drawing/2014/chart" uri="{C3380CC4-5D6E-409C-BE32-E72D297353CC}">
              <c16:uniqueId val="{00000003-B38D-3549-9D4B-92EBB8A185DA}"/>
            </c:ext>
          </c:extLst>
        </c:ser>
        <c:ser>
          <c:idx val="4"/>
          <c:order val="4"/>
          <c:tx>
            <c:strRef>
              <c:f>'Ràtio fons de maniobra'!$C$12</c:f>
              <c:strCache>
                <c:ptCount val="1"/>
                <c:pt idx="0">
                  <c:v>Phibro</c:v>
                </c:pt>
              </c:strCache>
            </c:strRef>
          </c:tx>
          <c:spPr>
            <a:ln w="28575" cap="rnd">
              <a:solidFill>
                <a:schemeClr val="accent5"/>
              </a:solidFill>
              <a:round/>
            </a:ln>
            <a:effectLst/>
          </c:spPr>
          <c:marker>
            <c:symbol val="none"/>
          </c:marker>
          <c:cat>
            <c:numRef>
              <c:f>'Ràtio fons de maniobra'!$D$7:$H$7</c:f>
              <c:numCache>
                <c:formatCode>General</c:formatCode>
                <c:ptCount val="5"/>
                <c:pt idx="0">
                  <c:v>2015</c:v>
                </c:pt>
                <c:pt idx="1">
                  <c:v>2016</c:v>
                </c:pt>
                <c:pt idx="2">
                  <c:v>2017</c:v>
                </c:pt>
                <c:pt idx="3">
                  <c:v>2018</c:v>
                </c:pt>
                <c:pt idx="4">
                  <c:v>2019</c:v>
                </c:pt>
              </c:numCache>
            </c:numRef>
          </c:cat>
          <c:val>
            <c:numRef>
              <c:f>'Ràtio fons de maniobra'!$D$12:$H$12</c:f>
              <c:numCache>
                <c:formatCode>0.00</c:formatCode>
                <c:ptCount val="5"/>
                <c:pt idx="0">
                  <c:v>0.18</c:v>
                </c:pt>
                <c:pt idx="1">
                  <c:v>3.18</c:v>
                </c:pt>
                <c:pt idx="2">
                  <c:v>3.14</c:v>
                </c:pt>
                <c:pt idx="3">
                  <c:v>2.9</c:v>
                </c:pt>
                <c:pt idx="4">
                  <c:v>3.03</c:v>
                </c:pt>
              </c:numCache>
            </c:numRef>
          </c:val>
          <c:smooth val="0"/>
          <c:extLst>
            <c:ext xmlns:c16="http://schemas.microsoft.com/office/drawing/2014/chart" uri="{C3380CC4-5D6E-409C-BE32-E72D297353CC}">
              <c16:uniqueId val="{00000004-B38D-3549-9D4B-92EBB8A185DA}"/>
            </c:ext>
          </c:extLst>
        </c:ser>
        <c:ser>
          <c:idx val="5"/>
          <c:order val="5"/>
          <c:tx>
            <c:strRef>
              <c:f>'Ràtio fons de maniobra'!$C$13</c:f>
              <c:strCache>
                <c:ptCount val="1"/>
                <c:pt idx="0">
                  <c:v>Hipra</c:v>
                </c:pt>
              </c:strCache>
            </c:strRef>
          </c:tx>
          <c:spPr>
            <a:ln w="28575" cap="rnd">
              <a:solidFill>
                <a:schemeClr val="accent6"/>
              </a:solidFill>
              <a:round/>
            </a:ln>
            <a:effectLst/>
          </c:spPr>
          <c:marker>
            <c:symbol val="none"/>
          </c:marker>
          <c:cat>
            <c:numRef>
              <c:f>'Ràtio fons de maniobra'!$D$7:$H$7</c:f>
              <c:numCache>
                <c:formatCode>General</c:formatCode>
                <c:ptCount val="5"/>
                <c:pt idx="0">
                  <c:v>2015</c:v>
                </c:pt>
                <c:pt idx="1">
                  <c:v>2016</c:v>
                </c:pt>
                <c:pt idx="2">
                  <c:v>2017</c:v>
                </c:pt>
                <c:pt idx="3">
                  <c:v>2018</c:v>
                </c:pt>
                <c:pt idx="4">
                  <c:v>2019</c:v>
                </c:pt>
              </c:numCache>
            </c:numRef>
          </c:cat>
          <c:val>
            <c:numRef>
              <c:f>'Ràtio fons de maniobra'!$D$13:$H$13</c:f>
              <c:numCache>
                <c:formatCode>0.00</c:formatCode>
                <c:ptCount val="5"/>
                <c:pt idx="0">
                  <c:v>2.5499999999999998</c:v>
                </c:pt>
                <c:pt idx="1">
                  <c:v>2.38</c:v>
                </c:pt>
                <c:pt idx="2">
                  <c:v>2.4300000000000002</c:v>
                </c:pt>
                <c:pt idx="3">
                  <c:v>2.61</c:v>
                </c:pt>
                <c:pt idx="4">
                  <c:v>2.48</c:v>
                </c:pt>
              </c:numCache>
            </c:numRef>
          </c:val>
          <c:smooth val="0"/>
          <c:extLst>
            <c:ext xmlns:c16="http://schemas.microsoft.com/office/drawing/2014/chart" uri="{C3380CC4-5D6E-409C-BE32-E72D297353CC}">
              <c16:uniqueId val="{00000005-B38D-3549-9D4B-92EBB8A185DA}"/>
            </c:ext>
          </c:extLst>
        </c:ser>
        <c:ser>
          <c:idx val="6"/>
          <c:order val="6"/>
          <c:tx>
            <c:strRef>
              <c:f>'Ràtio fons de maniobra'!$C$14</c:f>
              <c:strCache>
                <c:ptCount val="1"/>
                <c:pt idx="0">
                  <c:v>Mitjana sectorial (*)</c:v>
                </c:pt>
              </c:strCache>
            </c:strRef>
          </c:tx>
          <c:spPr>
            <a:ln w="28575" cap="rnd">
              <a:solidFill>
                <a:schemeClr val="accent1">
                  <a:lumMod val="60000"/>
                </a:schemeClr>
              </a:solidFill>
              <a:round/>
            </a:ln>
            <a:effectLst/>
          </c:spPr>
          <c:marker>
            <c:symbol val="none"/>
          </c:marker>
          <c:cat>
            <c:numRef>
              <c:f>'Ràtio fons de maniobra'!$D$7:$H$7</c:f>
              <c:numCache>
                <c:formatCode>General</c:formatCode>
                <c:ptCount val="5"/>
                <c:pt idx="0">
                  <c:v>2015</c:v>
                </c:pt>
                <c:pt idx="1">
                  <c:v>2016</c:v>
                </c:pt>
                <c:pt idx="2">
                  <c:v>2017</c:v>
                </c:pt>
                <c:pt idx="3">
                  <c:v>2018</c:v>
                </c:pt>
                <c:pt idx="4">
                  <c:v>2019</c:v>
                </c:pt>
              </c:numCache>
            </c:numRef>
          </c:cat>
          <c:val>
            <c:numRef>
              <c:f>'Ràtio fons de maniobra'!$D$14:$H$14</c:f>
              <c:numCache>
                <c:formatCode>0.00</c:formatCode>
                <c:ptCount val="5"/>
                <c:pt idx="0">
                  <c:v>1.4360000000000004</c:v>
                </c:pt>
                <c:pt idx="1">
                  <c:v>2.1179999999999999</c:v>
                </c:pt>
                <c:pt idx="2">
                  <c:v>2.3220000000000001</c:v>
                </c:pt>
                <c:pt idx="3">
                  <c:v>2.2379999999999995</c:v>
                </c:pt>
                <c:pt idx="4">
                  <c:v>2.0579999999999998</c:v>
                </c:pt>
              </c:numCache>
            </c:numRef>
          </c:val>
          <c:smooth val="0"/>
          <c:extLst>
            <c:ext xmlns:c16="http://schemas.microsoft.com/office/drawing/2014/chart" uri="{C3380CC4-5D6E-409C-BE32-E72D297353CC}">
              <c16:uniqueId val="{00000006-B38D-3549-9D4B-92EBB8A185DA}"/>
            </c:ext>
          </c:extLst>
        </c:ser>
        <c:dLbls>
          <c:showLegendKey val="0"/>
          <c:showVal val="0"/>
          <c:showCatName val="0"/>
          <c:showSerName val="0"/>
          <c:showPercent val="0"/>
          <c:showBubbleSize val="0"/>
        </c:dLbls>
        <c:smooth val="0"/>
        <c:axId val="1304559904"/>
        <c:axId val="1305754768"/>
      </c:lineChart>
      <c:catAx>
        <c:axId val="130455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305754768"/>
        <c:crosses val="autoZero"/>
        <c:auto val="1"/>
        <c:lblAlgn val="ctr"/>
        <c:lblOffset val="100"/>
        <c:noMultiLvlLbl val="0"/>
      </c:catAx>
      <c:valAx>
        <c:axId val="1305754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304559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7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'Ràtio fons de maniobra'!$C$8</c:f>
              <c:strCache>
                <c:ptCount val="1"/>
                <c:pt idx="0">
                  <c:v>Zoetis</c:v>
                </c:pt>
              </c:strCache>
            </c:strRef>
          </c:tx>
          <c:spPr>
            <a:ln w="28575" cap="rnd">
              <a:solidFill>
                <a:schemeClr val="accent1"/>
              </a:solidFill>
              <a:round/>
            </a:ln>
            <a:effectLst/>
          </c:spPr>
          <c:marker>
            <c:symbol val="none"/>
          </c:marker>
          <c:cat>
            <c:numRef>
              <c:f>'Ràtio fons de maniobra'!$D$7:$H$7</c:f>
              <c:numCache>
                <c:formatCode>General</c:formatCode>
                <c:ptCount val="5"/>
                <c:pt idx="0">
                  <c:v>2015</c:v>
                </c:pt>
                <c:pt idx="1">
                  <c:v>2016</c:v>
                </c:pt>
                <c:pt idx="2">
                  <c:v>2017</c:v>
                </c:pt>
                <c:pt idx="3">
                  <c:v>2018</c:v>
                </c:pt>
                <c:pt idx="4">
                  <c:v>2019</c:v>
                </c:pt>
              </c:numCache>
            </c:numRef>
          </c:cat>
          <c:val>
            <c:numRef>
              <c:f>'Ràtio fons de maniobra'!$D$8:$H$8</c:f>
              <c:numCache>
                <c:formatCode>0.00</c:formatCode>
                <c:ptCount val="5"/>
                <c:pt idx="0">
                  <c:v>2.15</c:v>
                </c:pt>
                <c:pt idx="1">
                  <c:v>3.03</c:v>
                </c:pt>
                <c:pt idx="2">
                  <c:v>3.85</c:v>
                </c:pt>
                <c:pt idx="3">
                  <c:v>3.6</c:v>
                </c:pt>
                <c:pt idx="4">
                  <c:v>2.63</c:v>
                </c:pt>
              </c:numCache>
            </c:numRef>
          </c:val>
          <c:smooth val="0"/>
          <c:extLst>
            <c:ext xmlns:c16="http://schemas.microsoft.com/office/drawing/2014/chart" uri="{C3380CC4-5D6E-409C-BE32-E72D297353CC}">
              <c16:uniqueId val="{00000000-71F2-6F4E-9148-4783D64EEB17}"/>
            </c:ext>
          </c:extLst>
        </c:ser>
        <c:ser>
          <c:idx val="1"/>
          <c:order val="1"/>
          <c:tx>
            <c:strRef>
              <c:f>'Ràtio fons de maniobra'!$C$9</c:f>
              <c:strCache>
                <c:ptCount val="1"/>
                <c:pt idx="0">
                  <c:v>IDEXX</c:v>
                </c:pt>
              </c:strCache>
            </c:strRef>
          </c:tx>
          <c:spPr>
            <a:ln w="28575" cap="rnd">
              <a:solidFill>
                <a:schemeClr val="accent2"/>
              </a:solidFill>
              <a:round/>
            </a:ln>
            <a:effectLst/>
          </c:spPr>
          <c:marker>
            <c:symbol val="none"/>
          </c:marker>
          <c:cat>
            <c:numRef>
              <c:f>'Ràtio fons de maniobra'!$D$7:$H$7</c:f>
              <c:numCache>
                <c:formatCode>General</c:formatCode>
                <c:ptCount val="5"/>
                <c:pt idx="0">
                  <c:v>2015</c:v>
                </c:pt>
                <c:pt idx="1">
                  <c:v>2016</c:v>
                </c:pt>
                <c:pt idx="2">
                  <c:v>2017</c:v>
                </c:pt>
                <c:pt idx="3">
                  <c:v>2018</c:v>
                </c:pt>
                <c:pt idx="4">
                  <c:v>2019</c:v>
                </c:pt>
              </c:numCache>
            </c:numRef>
          </c:cat>
          <c:val>
            <c:numRef>
              <c:f>'Ràtio fons de maniobra'!$D$9:$H$9</c:f>
              <c:numCache>
                <c:formatCode>0.00</c:formatCode>
                <c:ptCount val="5"/>
                <c:pt idx="0">
                  <c:v>0.96</c:v>
                </c:pt>
                <c:pt idx="1">
                  <c:v>0.9</c:v>
                </c:pt>
                <c:pt idx="2">
                  <c:v>0.97</c:v>
                </c:pt>
                <c:pt idx="3">
                  <c:v>0.85</c:v>
                </c:pt>
                <c:pt idx="4">
                  <c:v>0.94</c:v>
                </c:pt>
              </c:numCache>
            </c:numRef>
          </c:val>
          <c:smooth val="0"/>
          <c:extLst>
            <c:ext xmlns:c16="http://schemas.microsoft.com/office/drawing/2014/chart" uri="{C3380CC4-5D6E-409C-BE32-E72D297353CC}">
              <c16:uniqueId val="{00000001-71F2-6F4E-9148-4783D64EEB17}"/>
            </c:ext>
          </c:extLst>
        </c:ser>
        <c:ser>
          <c:idx val="2"/>
          <c:order val="2"/>
          <c:tx>
            <c:strRef>
              <c:f>'Ràtio fons de maniobra'!$C$10</c:f>
              <c:strCache>
                <c:ptCount val="1"/>
                <c:pt idx="0">
                  <c:v>Virbac</c:v>
                </c:pt>
              </c:strCache>
            </c:strRef>
          </c:tx>
          <c:spPr>
            <a:ln w="28575" cap="rnd">
              <a:solidFill>
                <a:schemeClr val="accent3"/>
              </a:solidFill>
              <a:round/>
            </a:ln>
            <a:effectLst/>
          </c:spPr>
          <c:marker>
            <c:symbol val="none"/>
          </c:marker>
          <c:cat>
            <c:numRef>
              <c:f>'Ràtio fons de maniobra'!$D$7:$H$7</c:f>
              <c:numCache>
                <c:formatCode>General</c:formatCode>
                <c:ptCount val="5"/>
                <c:pt idx="0">
                  <c:v>2015</c:v>
                </c:pt>
                <c:pt idx="1">
                  <c:v>2016</c:v>
                </c:pt>
                <c:pt idx="2">
                  <c:v>2017</c:v>
                </c:pt>
                <c:pt idx="3">
                  <c:v>2018</c:v>
                </c:pt>
                <c:pt idx="4">
                  <c:v>2019</c:v>
                </c:pt>
              </c:numCache>
            </c:numRef>
          </c:cat>
          <c:val>
            <c:numRef>
              <c:f>'Ràtio fons de maniobra'!$D$10:$H$10</c:f>
              <c:numCache>
                <c:formatCode>0.00</c:formatCode>
                <c:ptCount val="5"/>
                <c:pt idx="0">
                  <c:v>1.34</c:v>
                </c:pt>
                <c:pt idx="1">
                  <c:v>1.1000000000000001</c:v>
                </c:pt>
                <c:pt idx="2">
                  <c:v>1.22</c:v>
                </c:pt>
                <c:pt idx="3">
                  <c:v>1.23</c:v>
                </c:pt>
                <c:pt idx="4">
                  <c:v>1.21</c:v>
                </c:pt>
              </c:numCache>
            </c:numRef>
          </c:val>
          <c:smooth val="0"/>
          <c:extLst>
            <c:ext xmlns:c16="http://schemas.microsoft.com/office/drawing/2014/chart" uri="{C3380CC4-5D6E-409C-BE32-E72D297353CC}">
              <c16:uniqueId val="{00000002-71F2-6F4E-9148-4783D64EEB17}"/>
            </c:ext>
          </c:extLst>
        </c:ser>
        <c:ser>
          <c:idx val="3"/>
          <c:order val="3"/>
          <c:tx>
            <c:strRef>
              <c:f>'Ràtio fons de maniobra'!$C$11</c:f>
              <c:strCache>
                <c:ptCount val="1"/>
                <c:pt idx="0">
                  <c:v>Neogen</c:v>
                </c:pt>
              </c:strCache>
            </c:strRef>
          </c:tx>
          <c:spPr>
            <a:ln w="28575" cap="rnd">
              <a:solidFill>
                <a:schemeClr val="accent4"/>
              </a:solidFill>
              <a:round/>
            </a:ln>
            <a:effectLst/>
          </c:spPr>
          <c:marker>
            <c:symbol val="none"/>
          </c:marker>
          <c:cat>
            <c:numRef>
              <c:f>'Ràtio fons de maniobra'!$D$7:$H$7</c:f>
              <c:numCache>
                <c:formatCode>General</c:formatCode>
                <c:ptCount val="5"/>
                <c:pt idx="0">
                  <c:v>2015</c:v>
                </c:pt>
                <c:pt idx="1">
                  <c:v>2016</c:v>
                </c:pt>
                <c:pt idx="2">
                  <c:v>2017</c:v>
                </c:pt>
                <c:pt idx="3">
                  <c:v>2018</c:v>
                </c:pt>
                <c:pt idx="4">
                  <c:v>2019</c:v>
                </c:pt>
              </c:numCache>
            </c:numRef>
          </c:cat>
          <c:val>
            <c:numRef>
              <c:f>'Ràtio fons de maniobra'!$D$11:$H$11</c:f>
              <c:numCache>
                <c:formatCode>0.00</c:formatCode>
                <c:ptCount val="5"/>
                <c:pt idx="0">
                  <c:v>9.24</c:v>
                </c:pt>
                <c:pt idx="1">
                  <c:v>8.5500000000000007</c:v>
                </c:pt>
                <c:pt idx="2">
                  <c:v>8.15</c:v>
                </c:pt>
                <c:pt idx="3">
                  <c:v>9.64</c:v>
                </c:pt>
                <c:pt idx="4">
                  <c:v>11.84</c:v>
                </c:pt>
              </c:numCache>
            </c:numRef>
          </c:val>
          <c:smooth val="0"/>
          <c:extLst>
            <c:ext xmlns:c16="http://schemas.microsoft.com/office/drawing/2014/chart" uri="{C3380CC4-5D6E-409C-BE32-E72D297353CC}">
              <c16:uniqueId val="{00000003-71F2-6F4E-9148-4783D64EEB17}"/>
            </c:ext>
          </c:extLst>
        </c:ser>
        <c:ser>
          <c:idx val="4"/>
          <c:order val="4"/>
          <c:tx>
            <c:strRef>
              <c:f>'Ràtio fons de maniobra'!$C$12</c:f>
              <c:strCache>
                <c:ptCount val="1"/>
                <c:pt idx="0">
                  <c:v>Phibro</c:v>
                </c:pt>
              </c:strCache>
            </c:strRef>
          </c:tx>
          <c:spPr>
            <a:ln w="28575" cap="rnd">
              <a:solidFill>
                <a:schemeClr val="accent5"/>
              </a:solidFill>
              <a:round/>
            </a:ln>
            <a:effectLst/>
          </c:spPr>
          <c:marker>
            <c:symbol val="none"/>
          </c:marker>
          <c:cat>
            <c:numRef>
              <c:f>'Ràtio fons de maniobra'!$D$7:$H$7</c:f>
              <c:numCache>
                <c:formatCode>General</c:formatCode>
                <c:ptCount val="5"/>
                <c:pt idx="0">
                  <c:v>2015</c:v>
                </c:pt>
                <c:pt idx="1">
                  <c:v>2016</c:v>
                </c:pt>
                <c:pt idx="2">
                  <c:v>2017</c:v>
                </c:pt>
                <c:pt idx="3">
                  <c:v>2018</c:v>
                </c:pt>
                <c:pt idx="4">
                  <c:v>2019</c:v>
                </c:pt>
              </c:numCache>
            </c:numRef>
          </c:cat>
          <c:val>
            <c:numRef>
              <c:f>'Ràtio fons de maniobra'!$D$12:$H$12</c:f>
              <c:numCache>
                <c:formatCode>0.00</c:formatCode>
                <c:ptCount val="5"/>
                <c:pt idx="0">
                  <c:v>0.18</c:v>
                </c:pt>
                <c:pt idx="1">
                  <c:v>3.18</c:v>
                </c:pt>
                <c:pt idx="2">
                  <c:v>3.14</c:v>
                </c:pt>
                <c:pt idx="3">
                  <c:v>2.9</c:v>
                </c:pt>
                <c:pt idx="4">
                  <c:v>3.03</c:v>
                </c:pt>
              </c:numCache>
            </c:numRef>
          </c:val>
          <c:smooth val="0"/>
          <c:extLst>
            <c:ext xmlns:c16="http://schemas.microsoft.com/office/drawing/2014/chart" uri="{C3380CC4-5D6E-409C-BE32-E72D297353CC}">
              <c16:uniqueId val="{00000004-71F2-6F4E-9148-4783D64EEB17}"/>
            </c:ext>
          </c:extLst>
        </c:ser>
        <c:ser>
          <c:idx val="5"/>
          <c:order val="5"/>
          <c:tx>
            <c:strRef>
              <c:f>'Ràtio fons de maniobra'!$C$13</c:f>
              <c:strCache>
                <c:ptCount val="1"/>
                <c:pt idx="0">
                  <c:v>Hipra</c:v>
                </c:pt>
              </c:strCache>
            </c:strRef>
          </c:tx>
          <c:spPr>
            <a:ln w="28575" cap="rnd">
              <a:solidFill>
                <a:schemeClr val="accent6"/>
              </a:solidFill>
              <a:round/>
            </a:ln>
            <a:effectLst/>
          </c:spPr>
          <c:marker>
            <c:symbol val="none"/>
          </c:marker>
          <c:cat>
            <c:numRef>
              <c:f>'Ràtio fons de maniobra'!$D$7:$H$7</c:f>
              <c:numCache>
                <c:formatCode>General</c:formatCode>
                <c:ptCount val="5"/>
                <c:pt idx="0">
                  <c:v>2015</c:v>
                </c:pt>
                <c:pt idx="1">
                  <c:v>2016</c:v>
                </c:pt>
                <c:pt idx="2">
                  <c:v>2017</c:v>
                </c:pt>
                <c:pt idx="3">
                  <c:v>2018</c:v>
                </c:pt>
                <c:pt idx="4">
                  <c:v>2019</c:v>
                </c:pt>
              </c:numCache>
            </c:numRef>
          </c:cat>
          <c:val>
            <c:numRef>
              <c:f>'Ràtio fons de maniobra'!$D$13:$H$13</c:f>
              <c:numCache>
                <c:formatCode>0.00</c:formatCode>
                <c:ptCount val="5"/>
                <c:pt idx="0">
                  <c:v>2.5499999999999998</c:v>
                </c:pt>
                <c:pt idx="1">
                  <c:v>2.38</c:v>
                </c:pt>
                <c:pt idx="2">
                  <c:v>2.4300000000000002</c:v>
                </c:pt>
                <c:pt idx="3">
                  <c:v>2.61</c:v>
                </c:pt>
                <c:pt idx="4">
                  <c:v>2.48</c:v>
                </c:pt>
              </c:numCache>
            </c:numRef>
          </c:val>
          <c:smooth val="0"/>
          <c:extLst>
            <c:ext xmlns:c16="http://schemas.microsoft.com/office/drawing/2014/chart" uri="{C3380CC4-5D6E-409C-BE32-E72D297353CC}">
              <c16:uniqueId val="{00000005-71F2-6F4E-9148-4783D64EEB17}"/>
            </c:ext>
          </c:extLst>
        </c:ser>
        <c:ser>
          <c:idx val="6"/>
          <c:order val="6"/>
          <c:tx>
            <c:strRef>
              <c:f>'Ràtio fons de maniobra'!$C$14</c:f>
              <c:strCache>
                <c:ptCount val="1"/>
                <c:pt idx="0">
                  <c:v>Mitjana sectorial (*)</c:v>
                </c:pt>
              </c:strCache>
            </c:strRef>
          </c:tx>
          <c:spPr>
            <a:ln w="28575" cap="rnd">
              <a:solidFill>
                <a:schemeClr val="accent1">
                  <a:lumMod val="60000"/>
                </a:schemeClr>
              </a:solidFill>
              <a:round/>
            </a:ln>
            <a:effectLst/>
          </c:spPr>
          <c:marker>
            <c:symbol val="none"/>
          </c:marker>
          <c:cat>
            <c:numRef>
              <c:f>'Ràtio fons de maniobra'!$D$7:$H$7</c:f>
              <c:numCache>
                <c:formatCode>General</c:formatCode>
                <c:ptCount val="5"/>
                <c:pt idx="0">
                  <c:v>2015</c:v>
                </c:pt>
                <c:pt idx="1">
                  <c:v>2016</c:v>
                </c:pt>
                <c:pt idx="2">
                  <c:v>2017</c:v>
                </c:pt>
                <c:pt idx="3">
                  <c:v>2018</c:v>
                </c:pt>
                <c:pt idx="4">
                  <c:v>2019</c:v>
                </c:pt>
              </c:numCache>
            </c:numRef>
          </c:cat>
          <c:val>
            <c:numRef>
              <c:f>'Ràtio fons de maniobra'!$D$14:$H$14</c:f>
              <c:numCache>
                <c:formatCode>0.00</c:formatCode>
                <c:ptCount val="5"/>
                <c:pt idx="0">
                  <c:v>1.4360000000000004</c:v>
                </c:pt>
                <c:pt idx="1">
                  <c:v>2.1179999999999999</c:v>
                </c:pt>
                <c:pt idx="2">
                  <c:v>2.3220000000000001</c:v>
                </c:pt>
                <c:pt idx="3">
                  <c:v>2.2379999999999995</c:v>
                </c:pt>
                <c:pt idx="4">
                  <c:v>2.0579999999999998</c:v>
                </c:pt>
              </c:numCache>
            </c:numRef>
          </c:val>
          <c:smooth val="0"/>
          <c:extLst>
            <c:ext xmlns:c16="http://schemas.microsoft.com/office/drawing/2014/chart" uri="{C3380CC4-5D6E-409C-BE32-E72D297353CC}">
              <c16:uniqueId val="{00000006-71F2-6F4E-9148-4783D64EEB17}"/>
            </c:ext>
          </c:extLst>
        </c:ser>
        <c:dLbls>
          <c:showLegendKey val="0"/>
          <c:showVal val="0"/>
          <c:showCatName val="0"/>
          <c:showSerName val="0"/>
          <c:showPercent val="0"/>
          <c:showBubbleSize val="0"/>
        </c:dLbls>
        <c:smooth val="0"/>
        <c:axId val="1346058896"/>
        <c:axId val="1346060032"/>
      </c:lineChart>
      <c:catAx>
        <c:axId val="134605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346060032"/>
        <c:crosses val="autoZero"/>
        <c:auto val="1"/>
        <c:lblAlgn val="ctr"/>
        <c:lblOffset val="100"/>
        <c:noMultiLvlLbl val="0"/>
      </c:catAx>
      <c:valAx>
        <c:axId val="1346060032"/>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3460588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'Patrimoni net'!$C$8</c:f>
              <c:strCache>
                <c:ptCount val="1"/>
                <c:pt idx="0">
                  <c:v>Zoetis</c:v>
                </c:pt>
              </c:strCache>
            </c:strRef>
          </c:tx>
          <c:spPr>
            <a:ln w="28575" cap="rnd">
              <a:solidFill>
                <a:schemeClr val="accent1"/>
              </a:solidFill>
              <a:round/>
            </a:ln>
            <a:effectLst/>
          </c:spPr>
          <c:marker>
            <c:symbol val="none"/>
          </c:marker>
          <c:cat>
            <c:numRef>
              <c:f>'Patrimoni net'!$D$7:$H$7</c:f>
              <c:numCache>
                <c:formatCode>General</c:formatCode>
                <c:ptCount val="5"/>
                <c:pt idx="0">
                  <c:v>2015</c:v>
                </c:pt>
                <c:pt idx="1">
                  <c:v>2016</c:v>
                </c:pt>
                <c:pt idx="2">
                  <c:v>2017</c:v>
                </c:pt>
                <c:pt idx="3">
                  <c:v>2018</c:v>
                </c:pt>
                <c:pt idx="4">
                  <c:v>2019</c:v>
                </c:pt>
              </c:numCache>
            </c:numRef>
          </c:cat>
          <c:val>
            <c:numRef>
              <c:f>'Patrimoni net'!$D$8:$H$8</c:f>
              <c:numCache>
                <c:formatCode>0</c:formatCode>
                <c:ptCount val="5"/>
                <c:pt idx="0">
                  <c:v>1091</c:v>
                </c:pt>
                <c:pt idx="1">
                  <c:v>1499</c:v>
                </c:pt>
                <c:pt idx="2">
                  <c:v>1786</c:v>
                </c:pt>
                <c:pt idx="3">
                  <c:v>2185</c:v>
                </c:pt>
                <c:pt idx="4">
                  <c:v>2708</c:v>
                </c:pt>
              </c:numCache>
            </c:numRef>
          </c:val>
          <c:smooth val="0"/>
          <c:extLst>
            <c:ext xmlns:c16="http://schemas.microsoft.com/office/drawing/2014/chart" uri="{C3380CC4-5D6E-409C-BE32-E72D297353CC}">
              <c16:uniqueId val="{00000000-1991-F643-B0E6-1660CDDA7E9C}"/>
            </c:ext>
          </c:extLst>
        </c:ser>
        <c:ser>
          <c:idx val="1"/>
          <c:order val="1"/>
          <c:tx>
            <c:strRef>
              <c:f>'Patrimoni net'!$C$9</c:f>
              <c:strCache>
                <c:ptCount val="1"/>
                <c:pt idx="0">
                  <c:v>IDEXX</c:v>
                </c:pt>
              </c:strCache>
            </c:strRef>
          </c:tx>
          <c:spPr>
            <a:ln w="28575" cap="rnd">
              <a:solidFill>
                <a:schemeClr val="accent2"/>
              </a:solidFill>
              <a:round/>
            </a:ln>
            <a:effectLst/>
          </c:spPr>
          <c:marker>
            <c:symbol val="none"/>
          </c:marker>
          <c:cat>
            <c:numRef>
              <c:f>'Patrimoni net'!$D$7:$H$7</c:f>
              <c:numCache>
                <c:formatCode>General</c:formatCode>
                <c:ptCount val="5"/>
                <c:pt idx="0">
                  <c:v>2015</c:v>
                </c:pt>
                <c:pt idx="1">
                  <c:v>2016</c:v>
                </c:pt>
                <c:pt idx="2">
                  <c:v>2017</c:v>
                </c:pt>
                <c:pt idx="3">
                  <c:v>2018</c:v>
                </c:pt>
                <c:pt idx="4">
                  <c:v>2019</c:v>
                </c:pt>
              </c:numCache>
            </c:numRef>
          </c:cat>
          <c:val>
            <c:numRef>
              <c:f>'Patrimoni net'!$D$9:$H$9</c:f>
              <c:numCache>
                <c:formatCode>0</c:formatCode>
                <c:ptCount val="5"/>
                <c:pt idx="0">
                  <c:v>-84</c:v>
                </c:pt>
                <c:pt idx="1">
                  <c:v>-108</c:v>
                </c:pt>
                <c:pt idx="2">
                  <c:v>-55</c:v>
                </c:pt>
                <c:pt idx="3">
                  <c:v>-9</c:v>
                </c:pt>
                <c:pt idx="4">
                  <c:v>179</c:v>
                </c:pt>
              </c:numCache>
            </c:numRef>
          </c:val>
          <c:smooth val="0"/>
          <c:extLst>
            <c:ext xmlns:c16="http://schemas.microsoft.com/office/drawing/2014/chart" uri="{C3380CC4-5D6E-409C-BE32-E72D297353CC}">
              <c16:uniqueId val="{00000001-1991-F643-B0E6-1660CDDA7E9C}"/>
            </c:ext>
          </c:extLst>
        </c:ser>
        <c:ser>
          <c:idx val="2"/>
          <c:order val="2"/>
          <c:tx>
            <c:strRef>
              <c:f>'Patrimoni net'!$C$10</c:f>
              <c:strCache>
                <c:ptCount val="1"/>
                <c:pt idx="0">
                  <c:v>Virbac</c:v>
                </c:pt>
              </c:strCache>
            </c:strRef>
          </c:tx>
          <c:spPr>
            <a:ln w="28575" cap="rnd">
              <a:solidFill>
                <a:schemeClr val="accent3"/>
              </a:solidFill>
              <a:round/>
            </a:ln>
            <a:effectLst/>
          </c:spPr>
          <c:marker>
            <c:symbol val="none"/>
          </c:marker>
          <c:cat>
            <c:numRef>
              <c:f>'Patrimoni net'!$D$7:$H$7</c:f>
              <c:numCache>
                <c:formatCode>General</c:formatCode>
                <c:ptCount val="5"/>
                <c:pt idx="0">
                  <c:v>2015</c:v>
                </c:pt>
                <c:pt idx="1">
                  <c:v>2016</c:v>
                </c:pt>
                <c:pt idx="2">
                  <c:v>2017</c:v>
                </c:pt>
                <c:pt idx="3">
                  <c:v>2018</c:v>
                </c:pt>
                <c:pt idx="4">
                  <c:v>2019</c:v>
                </c:pt>
              </c:numCache>
            </c:numRef>
          </c:cat>
          <c:val>
            <c:numRef>
              <c:f>'Patrimoni net'!$D$10:$H$10</c:f>
              <c:numCache>
                <c:formatCode>0</c:formatCode>
                <c:ptCount val="5"/>
                <c:pt idx="0">
                  <c:v>482</c:v>
                </c:pt>
                <c:pt idx="1">
                  <c:v>521</c:v>
                </c:pt>
                <c:pt idx="2">
                  <c:v>479</c:v>
                </c:pt>
                <c:pt idx="3">
                  <c:v>496</c:v>
                </c:pt>
                <c:pt idx="4">
                  <c:v>552</c:v>
                </c:pt>
              </c:numCache>
            </c:numRef>
          </c:val>
          <c:smooth val="0"/>
          <c:extLst>
            <c:ext xmlns:c16="http://schemas.microsoft.com/office/drawing/2014/chart" uri="{C3380CC4-5D6E-409C-BE32-E72D297353CC}">
              <c16:uniqueId val="{00000002-1991-F643-B0E6-1660CDDA7E9C}"/>
            </c:ext>
          </c:extLst>
        </c:ser>
        <c:ser>
          <c:idx val="3"/>
          <c:order val="3"/>
          <c:tx>
            <c:strRef>
              <c:f>'Patrimoni net'!$C$11</c:f>
              <c:strCache>
                <c:ptCount val="1"/>
                <c:pt idx="0">
                  <c:v>Neogen</c:v>
                </c:pt>
              </c:strCache>
            </c:strRef>
          </c:tx>
          <c:spPr>
            <a:ln w="28575" cap="rnd">
              <a:solidFill>
                <a:schemeClr val="accent4"/>
              </a:solidFill>
              <a:round/>
            </a:ln>
            <a:effectLst/>
          </c:spPr>
          <c:marker>
            <c:symbol val="none"/>
          </c:marker>
          <c:cat>
            <c:numRef>
              <c:f>'Patrimoni net'!$D$7:$H$7</c:f>
              <c:numCache>
                <c:formatCode>General</c:formatCode>
                <c:ptCount val="5"/>
                <c:pt idx="0">
                  <c:v>2015</c:v>
                </c:pt>
                <c:pt idx="1">
                  <c:v>2016</c:v>
                </c:pt>
                <c:pt idx="2">
                  <c:v>2017</c:v>
                </c:pt>
                <c:pt idx="3">
                  <c:v>2018</c:v>
                </c:pt>
                <c:pt idx="4">
                  <c:v>2019</c:v>
                </c:pt>
              </c:numCache>
            </c:numRef>
          </c:cat>
          <c:val>
            <c:numRef>
              <c:f>'Patrimoni net'!$D$11:$H$11</c:f>
              <c:numCache>
                <c:formatCode>0</c:formatCode>
                <c:ptCount val="5"/>
                <c:pt idx="0">
                  <c:v>351</c:v>
                </c:pt>
                <c:pt idx="1">
                  <c:v>404</c:v>
                </c:pt>
                <c:pt idx="2">
                  <c:v>472</c:v>
                </c:pt>
                <c:pt idx="3">
                  <c:v>560</c:v>
                </c:pt>
                <c:pt idx="4">
                  <c:v>638</c:v>
                </c:pt>
              </c:numCache>
            </c:numRef>
          </c:val>
          <c:smooth val="0"/>
          <c:extLst>
            <c:ext xmlns:c16="http://schemas.microsoft.com/office/drawing/2014/chart" uri="{C3380CC4-5D6E-409C-BE32-E72D297353CC}">
              <c16:uniqueId val="{00000003-1991-F643-B0E6-1660CDDA7E9C}"/>
            </c:ext>
          </c:extLst>
        </c:ser>
        <c:ser>
          <c:idx val="4"/>
          <c:order val="4"/>
          <c:tx>
            <c:strRef>
              <c:f>'Patrimoni net'!$C$12</c:f>
              <c:strCache>
                <c:ptCount val="1"/>
                <c:pt idx="0">
                  <c:v>Phibro</c:v>
                </c:pt>
              </c:strCache>
            </c:strRef>
          </c:tx>
          <c:spPr>
            <a:ln w="28575" cap="rnd">
              <a:solidFill>
                <a:schemeClr val="accent5"/>
              </a:solidFill>
              <a:round/>
            </a:ln>
            <a:effectLst/>
          </c:spPr>
          <c:marker>
            <c:symbol val="none"/>
          </c:marker>
          <c:cat>
            <c:numRef>
              <c:f>'Patrimoni net'!$D$7:$H$7</c:f>
              <c:numCache>
                <c:formatCode>General</c:formatCode>
                <c:ptCount val="5"/>
                <c:pt idx="0">
                  <c:v>2015</c:v>
                </c:pt>
                <c:pt idx="1">
                  <c:v>2016</c:v>
                </c:pt>
                <c:pt idx="2">
                  <c:v>2017</c:v>
                </c:pt>
                <c:pt idx="3">
                  <c:v>2018</c:v>
                </c:pt>
                <c:pt idx="4">
                  <c:v>2019</c:v>
                </c:pt>
              </c:numCache>
            </c:numRef>
          </c:cat>
          <c:val>
            <c:numRef>
              <c:f>'Patrimoni net'!$D$12:$H$12</c:f>
              <c:numCache>
                <c:formatCode>0</c:formatCode>
                <c:ptCount val="5"/>
                <c:pt idx="0">
                  <c:v>30</c:v>
                </c:pt>
                <c:pt idx="1">
                  <c:v>90</c:v>
                </c:pt>
                <c:pt idx="2">
                  <c:v>151</c:v>
                </c:pt>
                <c:pt idx="3">
                  <c:v>185</c:v>
                </c:pt>
                <c:pt idx="4">
                  <c:v>216</c:v>
                </c:pt>
              </c:numCache>
            </c:numRef>
          </c:val>
          <c:smooth val="0"/>
          <c:extLst>
            <c:ext xmlns:c16="http://schemas.microsoft.com/office/drawing/2014/chart" uri="{C3380CC4-5D6E-409C-BE32-E72D297353CC}">
              <c16:uniqueId val="{00000004-1991-F643-B0E6-1660CDDA7E9C}"/>
            </c:ext>
          </c:extLst>
        </c:ser>
        <c:ser>
          <c:idx val="5"/>
          <c:order val="5"/>
          <c:tx>
            <c:strRef>
              <c:f>'Patrimoni net'!$C$13</c:f>
              <c:strCache>
                <c:ptCount val="1"/>
                <c:pt idx="0">
                  <c:v>Hipra</c:v>
                </c:pt>
              </c:strCache>
            </c:strRef>
          </c:tx>
          <c:spPr>
            <a:ln w="28575" cap="rnd">
              <a:solidFill>
                <a:schemeClr val="accent6"/>
              </a:solidFill>
              <a:round/>
            </a:ln>
            <a:effectLst/>
          </c:spPr>
          <c:marker>
            <c:symbol val="none"/>
          </c:marker>
          <c:cat>
            <c:numRef>
              <c:f>'Patrimoni net'!$D$7:$H$7</c:f>
              <c:numCache>
                <c:formatCode>General</c:formatCode>
                <c:ptCount val="5"/>
                <c:pt idx="0">
                  <c:v>2015</c:v>
                </c:pt>
                <c:pt idx="1">
                  <c:v>2016</c:v>
                </c:pt>
                <c:pt idx="2">
                  <c:v>2017</c:v>
                </c:pt>
                <c:pt idx="3">
                  <c:v>2018</c:v>
                </c:pt>
                <c:pt idx="4">
                  <c:v>2019</c:v>
                </c:pt>
              </c:numCache>
            </c:numRef>
          </c:cat>
          <c:val>
            <c:numRef>
              <c:f>'Patrimoni net'!$D$13:$H$13</c:f>
              <c:numCache>
                <c:formatCode>0</c:formatCode>
                <c:ptCount val="5"/>
                <c:pt idx="0">
                  <c:v>155.31</c:v>
                </c:pt>
                <c:pt idx="1">
                  <c:v>180.64</c:v>
                </c:pt>
                <c:pt idx="2">
                  <c:v>209.87</c:v>
                </c:pt>
                <c:pt idx="3">
                  <c:v>248.92</c:v>
                </c:pt>
                <c:pt idx="4">
                  <c:v>273.06</c:v>
                </c:pt>
              </c:numCache>
            </c:numRef>
          </c:val>
          <c:smooth val="0"/>
          <c:extLst>
            <c:ext xmlns:c16="http://schemas.microsoft.com/office/drawing/2014/chart" uri="{C3380CC4-5D6E-409C-BE32-E72D297353CC}">
              <c16:uniqueId val="{00000005-1991-F643-B0E6-1660CDDA7E9C}"/>
            </c:ext>
          </c:extLst>
        </c:ser>
        <c:ser>
          <c:idx val="6"/>
          <c:order val="6"/>
          <c:tx>
            <c:strRef>
              <c:f>'Patrimoni net'!$C$14</c:f>
              <c:strCache>
                <c:ptCount val="1"/>
                <c:pt idx="0">
                  <c:v>Mitjana sectorial</c:v>
                </c:pt>
              </c:strCache>
            </c:strRef>
          </c:tx>
          <c:spPr>
            <a:ln w="28575" cap="rnd">
              <a:solidFill>
                <a:schemeClr val="accent1">
                  <a:lumMod val="60000"/>
                </a:schemeClr>
              </a:solidFill>
              <a:round/>
            </a:ln>
            <a:effectLst/>
          </c:spPr>
          <c:marker>
            <c:symbol val="none"/>
          </c:marker>
          <c:cat>
            <c:numRef>
              <c:f>'Patrimoni net'!$D$7:$H$7</c:f>
              <c:numCache>
                <c:formatCode>General</c:formatCode>
                <c:ptCount val="5"/>
                <c:pt idx="0">
                  <c:v>2015</c:v>
                </c:pt>
                <c:pt idx="1">
                  <c:v>2016</c:v>
                </c:pt>
                <c:pt idx="2">
                  <c:v>2017</c:v>
                </c:pt>
                <c:pt idx="3">
                  <c:v>2018</c:v>
                </c:pt>
                <c:pt idx="4">
                  <c:v>2019</c:v>
                </c:pt>
              </c:numCache>
            </c:numRef>
          </c:cat>
          <c:val>
            <c:numRef>
              <c:f>'Patrimoni net'!$D$14:$H$14</c:f>
              <c:numCache>
                <c:formatCode>0</c:formatCode>
                <c:ptCount val="5"/>
                <c:pt idx="0">
                  <c:v>337.55166666666668</c:v>
                </c:pt>
                <c:pt idx="1">
                  <c:v>431.10666666666663</c:v>
                </c:pt>
                <c:pt idx="2">
                  <c:v>507.14499999999998</c:v>
                </c:pt>
                <c:pt idx="3">
                  <c:v>610.98666666666668</c:v>
                </c:pt>
                <c:pt idx="4">
                  <c:v>761.0100000000001</c:v>
                </c:pt>
              </c:numCache>
            </c:numRef>
          </c:val>
          <c:smooth val="0"/>
          <c:extLst>
            <c:ext xmlns:c16="http://schemas.microsoft.com/office/drawing/2014/chart" uri="{C3380CC4-5D6E-409C-BE32-E72D297353CC}">
              <c16:uniqueId val="{00000006-1991-F643-B0E6-1660CDDA7E9C}"/>
            </c:ext>
          </c:extLst>
        </c:ser>
        <c:dLbls>
          <c:showLegendKey val="0"/>
          <c:showVal val="0"/>
          <c:showCatName val="0"/>
          <c:showSerName val="0"/>
          <c:showPercent val="0"/>
          <c:showBubbleSize val="0"/>
        </c:dLbls>
        <c:smooth val="0"/>
        <c:axId val="1288143456"/>
        <c:axId val="1310782400"/>
      </c:lineChart>
      <c:catAx>
        <c:axId val="128814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310782400"/>
        <c:crosses val="autoZero"/>
        <c:auto val="1"/>
        <c:lblAlgn val="ctr"/>
        <c:lblOffset val="100"/>
        <c:noMultiLvlLbl val="0"/>
      </c:catAx>
      <c:valAx>
        <c:axId val="1310782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28814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7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'Balanç % ver. % hor'!$D$71</c:f>
              <c:strCache>
                <c:ptCount val="1"/>
                <c:pt idx="0">
                  <c:v>Corrent</c:v>
                </c:pt>
              </c:strCache>
            </c:strRef>
          </c:tx>
          <c:spPr>
            <a:solidFill>
              <a:schemeClr val="accent1">
                <a:alpha val="70000"/>
              </a:schemeClr>
            </a:solidFill>
            <a:ln>
              <a:noFill/>
            </a:ln>
            <a:effectLst/>
          </c:spPr>
          <c:invertIfNegative val="0"/>
          <c:dPt>
            <c:idx val="1"/>
            <c:invertIfNegative val="0"/>
            <c:bubble3D val="0"/>
            <c:spPr>
              <a:noFill/>
              <a:ln>
                <a:noFill/>
              </a:ln>
              <a:effectLst/>
            </c:spPr>
            <c:extLst>
              <c:ext xmlns:c16="http://schemas.microsoft.com/office/drawing/2014/chart" uri="{C3380CC4-5D6E-409C-BE32-E72D297353CC}">
                <c16:uniqueId val="{00000001-79A0-E841-9ED1-4F832AC7EC4B}"/>
              </c:ext>
            </c:extLst>
          </c:dPt>
          <c:dLbls>
            <c:dLbl>
              <c:idx val="0"/>
              <c:tx>
                <c:rich>
                  <a:bodyPr/>
                  <a:lstStyle/>
                  <a:p>
                    <a:r>
                      <a:rPr lang="en-US"/>
                      <a:t>ACTIU CORRENT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9A0-E841-9ED1-4F832AC7EC4B}"/>
                </c:ext>
              </c:extLst>
            </c:dLbl>
            <c:dLbl>
              <c:idx val="1"/>
              <c:delete val="1"/>
              <c:extLst>
                <c:ext xmlns:c15="http://schemas.microsoft.com/office/drawing/2012/chart" uri="{CE6537A1-D6FC-4f65-9D91-7224C49458BB}"/>
                <c:ext xmlns:c16="http://schemas.microsoft.com/office/drawing/2014/chart" uri="{C3380CC4-5D6E-409C-BE32-E72D297353CC}">
                  <c16:uniqueId val="{00000001-79A0-E841-9ED1-4F832AC7EC4B}"/>
                </c:ext>
              </c:extLst>
            </c:dLbl>
            <c:dLbl>
              <c:idx val="2"/>
              <c:tx>
                <c:rich>
                  <a:bodyPr/>
                  <a:lstStyle/>
                  <a:p>
                    <a:r>
                      <a:rPr lang="en-US"/>
                      <a:t>PASSIU CORRENT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A0-E841-9ED1-4F832AC7EC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'Balanç % ver. % hor'!$B$72:$C$74</c:f>
              <c:strCache>
                <c:ptCount val="3"/>
                <c:pt idx="0">
                  <c:v>Actiu</c:v>
                </c:pt>
                <c:pt idx="2">
                  <c:v>Passiu</c:v>
                </c:pt>
              </c:strCache>
            </c:strRef>
          </c:cat>
          <c:val>
            <c:numRef>
              <c:f>'Balanç % ver. % hor'!$D$72:$D$74</c:f>
              <c:numCache>
                <c:formatCode>0.00%</c:formatCode>
                <c:ptCount val="3"/>
                <c:pt idx="0">
                  <c:v>0.435</c:v>
                </c:pt>
                <c:pt idx="1">
                  <c:v>0.1754</c:v>
                </c:pt>
                <c:pt idx="2">
                  <c:v>0.1754</c:v>
                </c:pt>
              </c:numCache>
            </c:numRef>
          </c:val>
          <c:extLst>
            <c:ext xmlns:c16="http://schemas.microsoft.com/office/drawing/2014/chart" uri="{C3380CC4-5D6E-409C-BE32-E72D297353CC}">
              <c16:uniqueId val="{00000004-79A0-E841-9ED1-4F832AC7EC4B}"/>
            </c:ext>
          </c:extLst>
        </c:ser>
        <c:ser>
          <c:idx val="1"/>
          <c:order val="1"/>
          <c:tx>
            <c:strRef>
              <c:f>'Balanç % ver. % hor'!$E$71</c:f>
              <c:strCache>
                <c:ptCount val="1"/>
              </c:strCache>
            </c:strRef>
          </c:tx>
          <c:spPr>
            <a:solidFill>
              <a:schemeClr val="accent2">
                <a:alpha val="70000"/>
              </a:schemeClr>
            </a:solidFill>
            <a:ln>
              <a:noFill/>
            </a:ln>
            <a:effectLst/>
          </c:spPr>
          <c:invertIfNegative val="0"/>
          <c:cat>
            <c:strRef>
              <c:f>'Balanç % ver. % hor'!$B$72:$C$74</c:f>
              <c:strCache>
                <c:ptCount val="3"/>
                <c:pt idx="0">
                  <c:v>Actiu</c:v>
                </c:pt>
                <c:pt idx="2">
                  <c:v>Passiu</c:v>
                </c:pt>
              </c:strCache>
            </c:strRef>
          </c:cat>
          <c:val>
            <c:numRef>
              <c:f>'Balanç % ver. % hor'!$E$72:$E$74</c:f>
            </c:numRef>
          </c:val>
          <c:extLst>
            <c:ext xmlns:c16="http://schemas.microsoft.com/office/drawing/2014/chart" uri="{C3380CC4-5D6E-409C-BE32-E72D297353CC}">
              <c16:uniqueId val="{00000005-79A0-E841-9ED1-4F832AC7EC4B}"/>
            </c:ext>
          </c:extLst>
        </c:ser>
        <c:ser>
          <c:idx val="2"/>
          <c:order val="2"/>
          <c:tx>
            <c:strRef>
              <c:f>'Balanç % ver. % hor'!$F$71</c:f>
              <c:strCache>
                <c:ptCount val="1"/>
                <c:pt idx="0">
                  <c:v>fons de maniobra</c:v>
                </c:pt>
              </c:strCache>
            </c:strRef>
          </c:tx>
          <c:spPr>
            <a:solidFill>
              <a:schemeClr val="accent3">
                <a:alpha val="7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79A0-E841-9ED1-4F832AC7EC4B}"/>
                </c:ext>
              </c:extLst>
            </c:dLbl>
            <c:dLbl>
              <c:idx val="1"/>
              <c:tx>
                <c:rich>
                  <a:bodyPr/>
                  <a:lstStyle/>
                  <a:p>
                    <a:r>
                      <a:rPr lang="en-US"/>
                      <a:t>FONS DE MANIOBRA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9A0-E841-9ED1-4F832AC7EC4B}"/>
                </c:ext>
              </c:extLst>
            </c:dLbl>
            <c:dLbl>
              <c:idx val="2"/>
              <c:delete val="1"/>
              <c:extLst>
                <c:ext xmlns:c15="http://schemas.microsoft.com/office/drawing/2012/chart" uri="{CE6537A1-D6FC-4f65-9D91-7224C49458BB}"/>
                <c:ext xmlns:c16="http://schemas.microsoft.com/office/drawing/2014/chart" uri="{C3380CC4-5D6E-409C-BE32-E72D297353CC}">
                  <c16:uniqueId val="{00000008-79A0-E841-9ED1-4F832AC7EC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'Balanç % ver. % hor'!$B$72:$C$74</c:f>
              <c:strCache>
                <c:ptCount val="3"/>
                <c:pt idx="0">
                  <c:v>Actiu</c:v>
                </c:pt>
                <c:pt idx="2">
                  <c:v>Passiu</c:v>
                </c:pt>
              </c:strCache>
            </c:strRef>
          </c:cat>
          <c:val>
            <c:numRef>
              <c:f>'Balanç % ver. % hor'!$F$72:$F$74</c:f>
              <c:numCache>
                <c:formatCode>0.00%</c:formatCode>
                <c:ptCount val="3"/>
                <c:pt idx="0">
                  <c:v>0</c:v>
                </c:pt>
                <c:pt idx="1">
                  <c:v>0.25969999999999999</c:v>
                </c:pt>
                <c:pt idx="2">
                  <c:v>0</c:v>
                </c:pt>
              </c:numCache>
            </c:numRef>
          </c:val>
          <c:extLst>
            <c:ext xmlns:c16="http://schemas.microsoft.com/office/drawing/2014/chart" uri="{C3380CC4-5D6E-409C-BE32-E72D297353CC}">
              <c16:uniqueId val="{00000009-79A0-E841-9ED1-4F832AC7EC4B}"/>
            </c:ext>
          </c:extLst>
        </c:ser>
        <c:ser>
          <c:idx val="3"/>
          <c:order val="3"/>
          <c:tx>
            <c:strRef>
              <c:f>'Balanç % ver. % hor'!$G$71</c:f>
              <c:strCache>
                <c:ptCount val="1"/>
              </c:strCache>
            </c:strRef>
          </c:tx>
          <c:spPr>
            <a:solidFill>
              <a:schemeClr val="accent4">
                <a:alpha val="70000"/>
              </a:schemeClr>
            </a:solidFill>
            <a:ln>
              <a:noFill/>
            </a:ln>
            <a:effectLst/>
          </c:spPr>
          <c:invertIfNegative val="0"/>
          <c:cat>
            <c:strRef>
              <c:f>'Balanç % ver. % hor'!$B$72:$C$74</c:f>
              <c:strCache>
                <c:ptCount val="3"/>
                <c:pt idx="0">
                  <c:v>Actiu</c:v>
                </c:pt>
                <c:pt idx="2">
                  <c:v>Passiu</c:v>
                </c:pt>
              </c:strCache>
            </c:strRef>
          </c:cat>
          <c:val>
            <c:numRef>
              <c:f>'Balanç % ver. % hor'!$G$72:$G$74</c:f>
            </c:numRef>
          </c:val>
          <c:extLst>
            <c:ext xmlns:c16="http://schemas.microsoft.com/office/drawing/2014/chart" uri="{C3380CC4-5D6E-409C-BE32-E72D297353CC}">
              <c16:uniqueId val="{0000000A-79A0-E841-9ED1-4F832AC7EC4B}"/>
            </c:ext>
          </c:extLst>
        </c:ser>
        <c:ser>
          <c:idx val="4"/>
          <c:order val="4"/>
          <c:tx>
            <c:strRef>
              <c:f>'Balanç % ver. % hor'!$H$71</c:f>
              <c:strCache>
                <c:ptCount val="1"/>
                <c:pt idx="0">
                  <c:v>no corrent</c:v>
                </c:pt>
              </c:strCache>
            </c:strRef>
          </c:tx>
          <c:spPr>
            <a:solidFill>
              <a:schemeClr val="accent5">
                <a:alpha val="70000"/>
              </a:schemeClr>
            </a:solidFill>
            <a:ln>
              <a:noFill/>
            </a:ln>
            <a:effectLst/>
          </c:spPr>
          <c:invertIfNegative val="0"/>
          <c:dPt>
            <c:idx val="1"/>
            <c:invertIfNegative val="0"/>
            <c:bubble3D val="0"/>
            <c:spPr>
              <a:noFill/>
              <a:ln>
                <a:noFill/>
              </a:ln>
              <a:effectLst/>
            </c:spPr>
            <c:extLst>
              <c:ext xmlns:c16="http://schemas.microsoft.com/office/drawing/2014/chart" uri="{C3380CC4-5D6E-409C-BE32-E72D297353CC}">
                <c16:uniqueId val="{0000000C-79A0-E841-9ED1-4F832AC7EC4B}"/>
              </c:ext>
            </c:extLst>
          </c:dPt>
          <c:dLbls>
            <c:dLbl>
              <c:idx val="0"/>
              <c:tx>
                <c:rich>
                  <a:bodyPr/>
                  <a:lstStyle/>
                  <a:p>
                    <a:r>
                      <a:rPr lang="en-US"/>
                      <a:t>ACTIU NO CORRENT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9A0-E841-9ED1-4F832AC7EC4B}"/>
                </c:ext>
              </c:extLst>
            </c:dLbl>
            <c:dLbl>
              <c:idx val="2"/>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PASSIU</a:t>
                    </a:r>
                    <a:r>
                      <a:rPr lang="en-US" baseline="0"/>
                      <a:t> NO CORRENT</a:t>
                    </a:r>
                    <a:endParaRPr lang="en-US"/>
                  </a:p>
                </c:rich>
              </c:tx>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E-79A0-E841-9ED1-4F832AC7EC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'Balanç % ver. % hor'!$B$72:$C$74</c:f>
              <c:strCache>
                <c:ptCount val="3"/>
                <c:pt idx="0">
                  <c:v>Actiu</c:v>
                </c:pt>
                <c:pt idx="2">
                  <c:v>Passiu</c:v>
                </c:pt>
              </c:strCache>
            </c:strRef>
          </c:cat>
          <c:val>
            <c:numRef>
              <c:f>'Balanç % ver. % hor'!$H$72:$H$74</c:f>
              <c:numCache>
                <c:formatCode>0.00%</c:formatCode>
                <c:ptCount val="3"/>
                <c:pt idx="0">
                  <c:v>0.56499999999999995</c:v>
                </c:pt>
                <c:pt idx="1">
                  <c:v>0.56489999999999996</c:v>
                </c:pt>
                <c:pt idx="2">
                  <c:v>8.1799999999999998E-2</c:v>
                </c:pt>
              </c:numCache>
            </c:numRef>
          </c:val>
          <c:extLst>
            <c:ext xmlns:c16="http://schemas.microsoft.com/office/drawing/2014/chart" uri="{C3380CC4-5D6E-409C-BE32-E72D297353CC}">
              <c16:uniqueId val="{0000000F-79A0-E841-9ED1-4F832AC7EC4B}"/>
            </c:ext>
          </c:extLst>
        </c:ser>
        <c:ser>
          <c:idx val="5"/>
          <c:order val="5"/>
          <c:tx>
            <c:strRef>
              <c:f>'Balanç % ver. % hor'!$I$71</c:f>
              <c:strCache>
                <c:ptCount val="1"/>
              </c:strCache>
            </c:strRef>
          </c:tx>
          <c:spPr>
            <a:solidFill>
              <a:schemeClr val="accent6">
                <a:alpha val="70000"/>
              </a:schemeClr>
            </a:solidFill>
            <a:ln>
              <a:noFill/>
            </a:ln>
            <a:effectLst/>
          </c:spPr>
          <c:invertIfNegative val="0"/>
          <c:cat>
            <c:strRef>
              <c:f>'Balanç % ver. % hor'!$B$72:$C$74</c:f>
              <c:strCache>
                <c:ptCount val="3"/>
                <c:pt idx="0">
                  <c:v>Actiu</c:v>
                </c:pt>
                <c:pt idx="2">
                  <c:v>Passiu</c:v>
                </c:pt>
              </c:strCache>
            </c:strRef>
          </c:cat>
          <c:val>
            <c:numRef>
              <c:f>'Balanç % ver. % hor'!$I$72:$I$74</c:f>
            </c:numRef>
          </c:val>
          <c:extLst>
            <c:ext xmlns:c16="http://schemas.microsoft.com/office/drawing/2014/chart" uri="{C3380CC4-5D6E-409C-BE32-E72D297353CC}">
              <c16:uniqueId val="{00000010-79A0-E841-9ED1-4F832AC7EC4B}"/>
            </c:ext>
          </c:extLst>
        </c:ser>
        <c:ser>
          <c:idx val="6"/>
          <c:order val="6"/>
          <c:tx>
            <c:strRef>
              <c:f>'Balanç % ver. % hor'!$J$71</c:f>
              <c:strCache>
                <c:ptCount val="1"/>
                <c:pt idx="0">
                  <c:v>Patrimoni net</c:v>
                </c:pt>
              </c:strCache>
            </c:strRef>
          </c:tx>
          <c:spPr>
            <a:solidFill>
              <a:schemeClr val="accent1">
                <a:lumMod val="60000"/>
                <a:alpha val="7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1-79A0-E841-9ED1-4F832AC7EC4B}"/>
                </c:ext>
              </c:extLst>
            </c:dLbl>
            <c:dLbl>
              <c:idx val="1"/>
              <c:delete val="1"/>
              <c:extLst>
                <c:ext xmlns:c15="http://schemas.microsoft.com/office/drawing/2012/chart" uri="{CE6537A1-D6FC-4f65-9D91-7224C49458BB}"/>
                <c:ext xmlns:c16="http://schemas.microsoft.com/office/drawing/2014/chart" uri="{C3380CC4-5D6E-409C-BE32-E72D297353CC}">
                  <c16:uniqueId val="{00000012-79A0-E841-9ED1-4F832AC7EC4B}"/>
                </c:ext>
              </c:extLst>
            </c:dLbl>
            <c:dLbl>
              <c:idx val="2"/>
              <c:tx>
                <c:rich>
                  <a:bodyPr/>
                  <a:lstStyle/>
                  <a:p>
                    <a:r>
                      <a:rPr lang="en-US"/>
                      <a:t>PATRIMONI NET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9A0-E841-9ED1-4F832AC7EC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'Balanç % ver. % hor'!$B$72:$C$74</c:f>
              <c:strCache>
                <c:ptCount val="3"/>
                <c:pt idx="0">
                  <c:v>Actiu</c:v>
                </c:pt>
                <c:pt idx="2">
                  <c:v>Passiu</c:v>
                </c:pt>
              </c:strCache>
            </c:strRef>
          </c:cat>
          <c:val>
            <c:numRef>
              <c:f>'Balanç % ver. % hor'!$J$72:$J$74</c:f>
              <c:numCache>
                <c:formatCode>0.00%</c:formatCode>
                <c:ptCount val="3"/>
                <c:pt idx="0">
                  <c:v>0</c:v>
                </c:pt>
                <c:pt idx="1">
                  <c:v>0</c:v>
                </c:pt>
                <c:pt idx="2">
                  <c:v>0.74280000000000002</c:v>
                </c:pt>
              </c:numCache>
            </c:numRef>
          </c:val>
          <c:extLst>
            <c:ext xmlns:c16="http://schemas.microsoft.com/office/drawing/2014/chart" uri="{C3380CC4-5D6E-409C-BE32-E72D297353CC}">
              <c16:uniqueId val="{00000014-79A0-E841-9ED1-4F832AC7EC4B}"/>
            </c:ext>
          </c:extLst>
        </c:ser>
        <c:dLbls>
          <c:showLegendKey val="0"/>
          <c:showVal val="0"/>
          <c:showCatName val="0"/>
          <c:showSerName val="0"/>
          <c:showPercent val="0"/>
          <c:showBubbleSize val="0"/>
        </c:dLbls>
        <c:gapWidth val="0"/>
        <c:overlap val="100"/>
        <c:axId val="384909264"/>
        <c:axId val="385394912"/>
      </c:barChart>
      <c:catAx>
        <c:axId val="384909264"/>
        <c:scaling>
          <c:orientation val="minMax"/>
        </c:scaling>
        <c:delete val="1"/>
        <c:axPos val="b"/>
        <c:numFmt formatCode="General" sourceLinked="1"/>
        <c:majorTickMark val="none"/>
        <c:minorTickMark val="none"/>
        <c:tickLblPos val="nextTo"/>
        <c:crossAx val="385394912"/>
        <c:crosses val="autoZero"/>
        <c:auto val="1"/>
        <c:lblAlgn val="ctr"/>
        <c:lblOffset val="100"/>
        <c:noMultiLvlLbl val="0"/>
      </c:catAx>
      <c:valAx>
        <c:axId val="385394912"/>
        <c:scaling>
          <c:orientation val="minMax"/>
        </c:scaling>
        <c:delete val="1"/>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crossAx val="3849092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'Patrimoni net'!$C$8</c:f>
              <c:strCache>
                <c:ptCount val="1"/>
                <c:pt idx="0">
                  <c:v>Zoetis</c:v>
                </c:pt>
              </c:strCache>
            </c:strRef>
          </c:tx>
          <c:spPr>
            <a:ln w="28575" cap="rnd">
              <a:solidFill>
                <a:schemeClr val="accent1"/>
              </a:solidFill>
              <a:round/>
            </a:ln>
            <a:effectLst/>
          </c:spPr>
          <c:marker>
            <c:symbol val="none"/>
          </c:marker>
          <c:cat>
            <c:numRef>
              <c:f>'Patrimoni net'!$D$7:$H$7</c:f>
              <c:numCache>
                <c:formatCode>General</c:formatCode>
                <c:ptCount val="5"/>
                <c:pt idx="0">
                  <c:v>2015</c:v>
                </c:pt>
                <c:pt idx="1">
                  <c:v>2016</c:v>
                </c:pt>
                <c:pt idx="2">
                  <c:v>2017</c:v>
                </c:pt>
                <c:pt idx="3">
                  <c:v>2018</c:v>
                </c:pt>
                <c:pt idx="4">
                  <c:v>2019</c:v>
                </c:pt>
              </c:numCache>
            </c:numRef>
          </c:cat>
          <c:val>
            <c:numRef>
              <c:f>'Patrimoni net'!$D$8:$H$8</c:f>
              <c:numCache>
                <c:formatCode>0</c:formatCode>
                <c:ptCount val="5"/>
                <c:pt idx="0">
                  <c:v>1091</c:v>
                </c:pt>
                <c:pt idx="1">
                  <c:v>1499</c:v>
                </c:pt>
                <c:pt idx="2">
                  <c:v>1786</c:v>
                </c:pt>
                <c:pt idx="3">
                  <c:v>2185</c:v>
                </c:pt>
                <c:pt idx="4">
                  <c:v>2708</c:v>
                </c:pt>
              </c:numCache>
            </c:numRef>
          </c:val>
          <c:smooth val="0"/>
          <c:extLst>
            <c:ext xmlns:c16="http://schemas.microsoft.com/office/drawing/2014/chart" uri="{C3380CC4-5D6E-409C-BE32-E72D297353CC}">
              <c16:uniqueId val="{00000000-F1A6-2749-91B8-25C076166F73}"/>
            </c:ext>
          </c:extLst>
        </c:ser>
        <c:ser>
          <c:idx val="1"/>
          <c:order val="1"/>
          <c:tx>
            <c:strRef>
              <c:f>'Patrimoni net'!$C$9</c:f>
              <c:strCache>
                <c:ptCount val="1"/>
                <c:pt idx="0">
                  <c:v>IDEXX</c:v>
                </c:pt>
              </c:strCache>
            </c:strRef>
          </c:tx>
          <c:spPr>
            <a:ln w="28575" cap="rnd">
              <a:solidFill>
                <a:schemeClr val="accent2"/>
              </a:solidFill>
              <a:round/>
            </a:ln>
            <a:effectLst/>
          </c:spPr>
          <c:marker>
            <c:symbol val="none"/>
          </c:marker>
          <c:cat>
            <c:numRef>
              <c:f>'Patrimoni net'!$D$7:$H$7</c:f>
              <c:numCache>
                <c:formatCode>General</c:formatCode>
                <c:ptCount val="5"/>
                <c:pt idx="0">
                  <c:v>2015</c:v>
                </c:pt>
                <c:pt idx="1">
                  <c:v>2016</c:v>
                </c:pt>
                <c:pt idx="2">
                  <c:v>2017</c:v>
                </c:pt>
                <c:pt idx="3">
                  <c:v>2018</c:v>
                </c:pt>
                <c:pt idx="4">
                  <c:v>2019</c:v>
                </c:pt>
              </c:numCache>
            </c:numRef>
          </c:cat>
          <c:val>
            <c:numRef>
              <c:f>'Patrimoni net'!$D$9:$H$9</c:f>
              <c:numCache>
                <c:formatCode>0</c:formatCode>
                <c:ptCount val="5"/>
                <c:pt idx="0">
                  <c:v>-84</c:v>
                </c:pt>
                <c:pt idx="1">
                  <c:v>-108</c:v>
                </c:pt>
                <c:pt idx="2">
                  <c:v>-55</c:v>
                </c:pt>
                <c:pt idx="3">
                  <c:v>-9</c:v>
                </c:pt>
                <c:pt idx="4">
                  <c:v>179</c:v>
                </c:pt>
              </c:numCache>
            </c:numRef>
          </c:val>
          <c:smooth val="0"/>
          <c:extLst>
            <c:ext xmlns:c16="http://schemas.microsoft.com/office/drawing/2014/chart" uri="{C3380CC4-5D6E-409C-BE32-E72D297353CC}">
              <c16:uniqueId val="{00000001-F1A6-2749-91B8-25C076166F73}"/>
            </c:ext>
          </c:extLst>
        </c:ser>
        <c:ser>
          <c:idx val="2"/>
          <c:order val="2"/>
          <c:tx>
            <c:strRef>
              <c:f>'Patrimoni net'!$C$10</c:f>
              <c:strCache>
                <c:ptCount val="1"/>
                <c:pt idx="0">
                  <c:v>Virbac</c:v>
                </c:pt>
              </c:strCache>
            </c:strRef>
          </c:tx>
          <c:spPr>
            <a:ln w="28575" cap="rnd">
              <a:solidFill>
                <a:schemeClr val="accent3"/>
              </a:solidFill>
              <a:round/>
            </a:ln>
            <a:effectLst/>
          </c:spPr>
          <c:marker>
            <c:symbol val="none"/>
          </c:marker>
          <c:cat>
            <c:numRef>
              <c:f>'Patrimoni net'!$D$7:$H$7</c:f>
              <c:numCache>
                <c:formatCode>General</c:formatCode>
                <c:ptCount val="5"/>
                <c:pt idx="0">
                  <c:v>2015</c:v>
                </c:pt>
                <c:pt idx="1">
                  <c:v>2016</c:v>
                </c:pt>
                <c:pt idx="2">
                  <c:v>2017</c:v>
                </c:pt>
                <c:pt idx="3">
                  <c:v>2018</c:v>
                </c:pt>
                <c:pt idx="4">
                  <c:v>2019</c:v>
                </c:pt>
              </c:numCache>
            </c:numRef>
          </c:cat>
          <c:val>
            <c:numRef>
              <c:f>'Patrimoni net'!$D$10:$H$10</c:f>
              <c:numCache>
                <c:formatCode>0</c:formatCode>
                <c:ptCount val="5"/>
                <c:pt idx="0">
                  <c:v>482</c:v>
                </c:pt>
                <c:pt idx="1">
                  <c:v>521</c:v>
                </c:pt>
                <c:pt idx="2">
                  <c:v>479</c:v>
                </c:pt>
                <c:pt idx="3">
                  <c:v>496</c:v>
                </c:pt>
                <c:pt idx="4">
                  <c:v>552</c:v>
                </c:pt>
              </c:numCache>
            </c:numRef>
          </c:val>
          <c:smooth val="0"/>
          <c:extLst>
            <c:ext xmlns:c16="http://schemas.microsoft.com/office/drawing/2014/chart" uri="{C3380CC4-5D6E-409C-BE32-E72D297353CC}">
              <c16:uniqueId val="{00000002-F1A6-2749-91B8-25C076166F73}"/>
            </c:ext>
          </c:extLst>
        </c:ser>
        <c:ser>
          <c:idx val="3"/>
          <c:order val="3"/>
          <c:tx>
            <c:strRef>
              <c:f>'Patrimoni net'!$C$11</c:f>
              <c:strCache>
                <c:ptCount val="1"/>
                <c:pt idx="0">
                  <c:v>Neogen</c:v>
                </c:pt>
              </c:strCache>
            </c:strRef>
          </c:tx>
          <c:spPr>
            <a:ln w="28575" cap="rnd">
              <a:solidFill>
                <a:schemeClr val="accent4"/>
              </a:solidFill>
              <a:round/>
            </a:ln>
            <a:effectLst/>
          </c:spPr>
          <c:marker>
            <c:symbol val="none"/>
          </c:marker>
          <c:cat>
            <c:numRef>
              <c:f>'Patrimoni net'!$D$7:$H$7</c:f>
              <c:numCache>
                <c:formatCode>General</c:formatCode>
                <c:ptCount val="5"/>
                <c:pt idx="0">
                  <c:v>2015</c:v>
                </c:pt>
                <c:pt idx="1">
                  <c:v>2016</c:v>
                </c:pt>
                <c:pt idx="2">
                  <c:v>2017</c:v>
                </c:pt>
                <c:pt idx="3">
                  <c:v>2018</c:v>
                </c:pt>
                <c:pt idx="4">
                  <c:v>2019</c:v>
                </c:pt>
              </c:numCache>
            </c:numRef>
          </c:cat>
          <c:val>
            <c:numRef>
              <c:f>'Patrimoni net'!$D$11:$H$11</c:f>
              <c:numCache>
                <c:formatCode>0</c:formatCode>
                <c:ptCount val="5"/>
                <c:pt idx="0">
                  <c:v>351</c:v>
                </c:pt>
                <c:pt idx="1">
                  <c:v>404</c:v>
                </c:pt>
                <c:pt idx="2">
                  <c:v>472</c:v>
                </c:pt>
                <c:pt idx="3">
                  <c:v>560</c:v>
                </c:pt>
                <c:pt idx="4">
                  <c:v>638</c:v>
                </c:pt>
              </c:numCache>
            </c:numRef>
          </c:val>
          <c:smooth val="0"/>
          <c:extLst>
            <c:ext xmlns:c16="http://schemas.microsoft.com/office/drawing/2014/chart" uri="{C3380CC4-5D6E-409C-BE32-E72D297353CC}">
              <c16:uniqueId val="{00000003-F1A6-2749-91B8-25C076166F73}"/>
            </c:ext>
          </c:extLst>
        </c:ser>
        <c:ser>
          <c:idx val="4"/>
          <c:order val="4"/>
          <c:tx>
            <c:strRef>
              <c:f>'Patrimoni net'!$C$12</c:f>
              <c:strCache>
                <c:ptCount val="1"/>
                <c:pt idx="0">
                  <c:v>Phibro</c:v>
                </c:pt>
              </c:strCache>
            </c:strRef>
          </c:tx>
          <c:spPr>
            <a:ln w="28575" cap="rnd">
              <a:solidFill>
                <a:schemeClr val="accent5"/>
              </a:solidFill>
              <a:round/>
            </a:ln>
            <a:effectLst/>
          </c:spPr>
          <c:marker>
            <c:symbol val="none"/>
          </c:marker>
          <c:cat>
            <c:numRef>
              <c:f>'Patrimoni net'!$D$7:$H$7</c:f>
              <c:numCache>
                <c:formatCode>General</c:formatCode>
                <c:ptCount val="5"/>
                <c:pt idx="0">
                  <c:v>2015</c:v>
                </c:pt>
                <c:pt idx="1">
                  <c:v>2016</c:v>
                </c:pt>
                <c:pt idx="2">
                  <c:v>2017</c:v>
                </c:pt>
                <c:pt idx="3">
                  <c:v>2018</c:v>
                </c:pt>
                <c:pt idx="4">
                  <c:v>2019</c:v>
                </c:pt>
              </c:numCache>
            </c:numRef>
          </c:cat>
          <c:val>
            <c:numRef>
              <c:f>'Patrimoni net'!$D$12:$H$12</c:f>
              <c:numCache>
                <c:formatCode>0</c:formatCode>
                <c:ptCount val="5"/>
                <c:pt idx="0">
                  <c:v>30</c:v>
                </c:pt>
                <c:pt idx="1">
                  <c:v>90</c:v>
                </c:pt>
                <c:pt idx="2">
                  <c:v>151</c:v>
                </c:pt>
                <c:pt idx="3">
                  <c:v>185</c:v>
                </c:pt>
                <c:pt idx="4">
                  <c:v>216</c:v>
                </c:pt>
              </c:numCache>
            </c:numRef>
          </c:val>
          <c:smooth val="0"/>
          <c:extLst>
            <c:ext xmlns:c16="http://schemas.microsoft.com/office/drawing/2014/chart" uri="{C3380CC4-5D6E-409C-BE32-E72D297353CC}">
              <c16:uniqueId val="{00000004-F1A6-2749-91B8-25C076166F73}"/>
            </c:ext>
          </c:extLst>
        </c:ser>
        <c:ser>
          <c:idx val="5"/>
          <c:order val="5"/>
          <c:tx>
            <c:strRef>
              <c:f>'Patrimoni net'!$C$13</c:f>
              <c:strCache>
                <c:ptCount val="1"/>
                <c:pt idx="0">
                  <c:v>Hipra</c:v>
                </c:pt>
              </c:strCache>
            </c:strRef>
          </c:tx>
          <c:spPr>
            <a:ln w="28575" cap="rnd">
              <a:solidFill>
                <a:schemeClr val="accent6"/>
              </a:solidFill>
              <a:round/>
            </a:ln>
            <a:effectLst/>
          </c:spPr>
          <c:marker>
            <c:symbol val="none"/>
          </c:marker>
          <c:cat>
            <c:numRef>
              <c:f>'Patrimoni net'!$D$7:$H$7</c:f>
              <c:numCache>
                <c:formatCode>General</c:formatCode>
                <c:ptCount val="5"/>
                <c:pt idx="0">
                  <c:v>2015</c:v>
                </c:pt>
                <c:pt idx="1">
                  <c:v>2016</c:v>
                </c:pt>
                <c:pt idx="2">
                  <c:v>2017</c:v>
                </c:pt>
                <c:pt idx="3">
                  <c:v>2018</c:v>
                </c:pt>
                <c:pt idx="4">
                  <c:v>2019</c:v>
                </c:pt>
              </c:numCache>
            </c:numRef>
          </c:cat>
          <c:val>
            <c:numRef>
              <c:f>'Patrimoni net'!$D$13:$H$13</c:f>
              <c:numCache>
                <c:formatCode>0</c:formatCode>
                <c:ptCount val="5"/>
                <c:pt idx="0">
                  <c:v>155.31</c:v>
                </c:pt>
                <c:pt idx="1">
                  <c:v>180.64</c:v>
                </c:pt>
                <c:pt idx="2">
                  <c:v>209.87</c:v>
                </c:pt>
                <c:pt idx="3">
                  <c:v>248.92</c:v>
                </c:pt>
                <c:pt idx="4">
                  <c:v>273.06</c:v>
                </c:pt>
              </c:numCache>
            </c:numRef>
          </c:val>
          <c:smooth val="0"/>
          <c:extLst>
            <c:ext xmlns:c16="http://schemas.microsoft.com/office/drawing/2014/chart" uri="{C3380CC4-5D6E-409C-BE32-E72D297353CC}">
              <c16:uniqueId val="{00000005-F1A6-2749-91B8-25C076166F73}"/>
            </c:ext>
          </c:extLst>
        </c:ser>
        <c:ser>
          <c:idx val="6"/>
          <c:order val="6"/>
          <c:tx>
            <c:strRef>
              <c:f>'Patrimoni net'!$C$14</c:f>
              <c:strCache>
                <c:ptCount val="1"/>
                <c:pt idx="0">
                  <c:v>Mitjana sectorial</c:v>
                </c:pt>
              </c:strCache>
            </c:strRef>
          </c:tx>
          <c:spPr>
            <a:ln w="28575" cap="rnd">
              <a:solidFill>
                <a:schemeClr val="accent1">
                  <a:lumMod val="60000"/>
                </a:schemeClr>
              </a:solidFill>
              <a:round/>
            </a:ln>
            <a:effectLst/>
          </c:spPr>
          <c:marker>
            <c:symbol val="none"/>
          </c:marker>
          <c:cat>
            <c:numRef>
              <c:f>'Patrimoni net'!$D$7:$H$7</c:f>
              <c:numCache>
                <c:formatCode>General</c:formatCode>
                <c:ptCount val="5"/>
                <c:pt idx="0">
                  <c:v>2015</c:v>
                </c:pt>
                <c:pt idx="1">
                  <c:v>2016</c:v>
                </c:pt>
                <c:pt idx="2">
                  <c:v>2017</c:v>
                </c:pt>
                <c:pt idx="3">
                  <c:v>2018</c:v>
                </c:pt>
                <c:pt idx="4">
                  <c:v>2019</c:v>
                </c:pt>
              </c:numCache>
            </c:numRef>
          </c:cat>
          <c:val>
            <c:numRef>
              <c:f>'Patrimoni net'!$D$14:$H$14</c:f>
              <c:numCache>
                <c:formatCode>0</c:formatCode>
                <c:ptCount val="5"/>
                <c:pt idx="0">
                  <c:v>337.55166666666668</c:v>
                </c:pt>
                <c:pt idx="1">
                  <c:v>431.10666666666663</c:v>
                </c:pt>
                <c:pt idx="2">
                  <c:v>507.14499999999998</c:v>
                </c:pt>
                <c:pt idx="3">
                  <c:v>610.98666666666668</c:v>
                </c:pt>
                <c:pt idx="4">
                  <c:v>761.0100000000001</c:v>
                </c:pt>
              </c:numCache>
            </c:numRef>
          </c:val>
          <c:smooth val="0"/>
          <c:extLst>
            <c:ext xmlns:c16="http://schemas.microsoft.com/office/drawing/2014/chart" uri="{C3380CC4-5D6E-409C-BE32-E72D297353CC}">
              <c16:uniqueId val="{00000006-F1A6-2749-91B8-25C076166F73}"/>
            </c:ext>
          </c:extLst>
        </c:ser>
        <c:dLbls>
          <c:showLegendKey val="0"/>
          <c:showVal val="0"/>
          <c:showCatName val="0"/>
          <c:showSerName val="0"/>
          <c:showPercent val="0"/>
          <c:showBubbleSize val="0"/>
        </c:dLbls>
        <c:smooth val="0"/>
        <c:axId val="1312661232"/>
        <c:axId val="1312662912"/>
      </c:lineChart>
      <c:catAx>
        <c:axId val="131266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312662912"/>
        <c:crossesAt val="-200"/>
        <c:auto val="1"/>
        <c:lblAlgn val="ctr"/>
        <c:lblOffset val="100"/>
        <c:noMultiLvlLbl val="0"/>
      </c:catAx>
      <c:valAx>
        <c:axId val="1312662912"/>
        <c:scaling>
          <c:orientation val="minMax"/>
          <c:max val="1000"/>
          <c:min val="-2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3126612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'Rendibilitat econòmica'!$C$8</c:f>
              <c:strCache>
                <c:ptCount val="1"/>
                <c:pt idx="0">
                  <c:v>Zoetis</c:v>
                </c:pt>
              </c:strCache>
            </c:strRef>
          </c:tx>
          <c:spPr>
            <a:ln w="28575" cap="rnd">
              <a:solidFill>
                <a:schemeClr val="accent1"/>
              </a:solidFill>
              <a:round/>
            </a:ln>
            <a:effectLst/>
          </c:spPr>
          <c:marker>
            <c:symbol val="none"/>
          </c:marker>
          <c:cat>
            <c:numRef>
              <c:f>'Rendibilitat econòmica'!$D$7:$H$7</c:f>
              <c:numCache>
                <c:formatCode>General</c:formatCode>
                <c:ptCount val="5"/>
                <c:pt idx="0">
                  <c:v>2015</c:v>
                </c:pt>
                <c:pt idx="1">
                  <c:v>2016</c:v>
                </c:pt>
                <c:pt idx="2">
                  <c:v>2017</c:v>
                </c:pt>
                <c:pt idx="3">
                  <c:v>2018</c:v>
                </c:pt>
                <c:pt idx="4">
                  <c:v>2019</c:v>
                </c:pt>
              </c:numCache>
            </c:numRef>
          </c:cat>
          <c:val>
            <c:numRef>
              <c:f>'Rendibilitat econòmica'!$D$8:$H$8</c:f>
              <c:numCache>
                <c:formatCode>0.00%</c:formatCode>
                <c:ptCount val="5"/>
                <c:pt idx="0">
                  <c:v>0.17849999999999999</c:v>
                </c:pt>
                <c:pt idx="1">
                  <c:v>0.1414</c:v>
                </c:pt>
                <c:pt idx="2">
                  <c:v>0.1573</c:v>
                </c:pt>
                <c:pt idx="3">
                  <c:v>0.14729999999999999</c:v>
                </c:pt>
                <c:pt idx="4">
                  <c:v>0.1142</c:v>
                </c:pt>
              </c:numCache>
            </c:numRef>
          </c:val>
          <c:smooth val="0"/>
          <c:extLst>
            <c:ext xmlns:c16="http://schemas.microsoft.com/office/drawing/2014/chart" uri="{C3380CC4-5D6E-409C-BE32-E72D297353CC}">
              <c16:uniqueId val="{00000000-4AB6-7840-9ED1-B7500C26C015}"/>
            </c:ext>
          </c:extLst>
        </c:ser>
        <c:ser>
          <c:idx val="1"/>
          <c:order val="1"/>
          <c:tx>
            <c:strRef>
              <c:f>'Rendibilitat econòmica'!$C$9</c:f>
              <c:strCache>
                <c:ptCount val="1"/>
                <c:pt idx="0">
                  <c:v>IDEXX</c:v>
                </c:pt>
              </c:strCache>
            </c:strRef>
          </c:tx>
          <c:spPr>
            <a:ln w="28575" cap="rnd">
              <a:solidFill>
                <a:schemeClr val="accent2"/>
              </a:solidFill>
              <a:round/>
            </a:ln>
            <a:effectLst/>
          </c:spPr>
          <c:marker>
            <c:symbol val="none"/>
          </c:marker>
          <c:cat>
            <c:numRef>
              <c:f>'Rendibilitat econòmica'!$D$7:$H$7</c:f>
              <c:numCache>
                <c:formatCode>General</c:formatCode>
                <c:ptCount val="5"/>
                <c:pt idx="0">
                  <c:v>2015</c:v>
                </c:pt>
                <c:pt idx="1">
                  <c:v>2016</c:v>
                </c:pt>
                <c:pt idx="2">
                  <c:v>2017</c:v>
                </c:pt>
                <c:pt idx="3">
                  <c:v>2018</c:v>
                </c:pt>
                <c:pt idx="4">
                  <c:v>2019</c:v>
                </c:pt>
              </c:numCache>
            </c:numRef>
          </c:cat>
          <c:val>
            <c:numRef>
              <c:f>'Rendibilitat econòmica'!$D$9:$H$9</c:f>
              <c:numCache>
                <c:formatCode>0.00%</c:formatCode>
                <c:ptCount val="5"/>
                <c:pt idx="0">
                  <c:v>0.2034</c:v>
                </c:pt>
                <c:pt idx="1">
                  <c:v>0.2286</c:v>
                </c:pt>
                <c:pt idx="2">
                  <c:v>0.24110000000000001</c:v>
                </c:pt>
                <c:pt idx="3">
                  <c:v>0.31950000000000001</c:v>
                </c:pt>
                <c:pt idx="4">
                  <c:v>0.30170000000000002</c:v>
                </c:pt>
              </c:numCache>
            </c:numRef>
          </c:val>
          <c:smooth val="0"/>
          <c:extLst>
            <c:ext xmlns:c16="http://schemas.microsoft.com/office/drawing/2014/chart" uri="{C3380CC4-5D6E-409C-BE32-E72D297353CC}">
              <c16:uniqueId val="{00000001-4AB6-7840-9ED1-B7500C26C015}"/>
            </c:ext>
          </c:extLst>
        </c:ser>
        <c:ser>
          <c:idx val="2"/>
          <c:order val="2"/>
          <c:tx>
            <c:strRef>
              <c:f>'Rendibilitat econòmica'!$C$10</c:f>
              <c:strCache>
                <c:ptCount val="1"/>
                <c:pt idx="0">
                  <c:v>Virbac</c:v>
                </c:pt>
              </c:strCache>
            </c:strRef>
          </c:tx>
          <c:spPr>
            <a:ln w="28575" cap="rnd">
              <a:solidFill>
                <a:schemeClr val="accent3"/>
              </a:solidFill>
              <a:round/>
            </a:ln>
            <a:effectLst/>
          </c:spPr>
          <c:marker>
            <c:symbol val="none"/>
          </c:marker>
          <c:cat>
            <c:numRef>
              <c:f>'Rendibilitat econòmica'!$D$7:$H$7</c:f>
              <c:numCache>
                <c:formatCode>General</c:formatCode>
                <c:ptCount val="5"/>
                <c:pt idx="0">
                  <c:v>2015</c:v>
                </c:pt>
                <c:pt idx="1">
                  <c:v>2016</c:v>
                </c:pt>
                <c:pt idx="2">
                  <c:v>2017</c:v>
                </c:pt>
                <c:pt idx="3">
                  <c:v>2018</c:v>
                </c:pt>
                <c:pt idx="4">
                  <c:v>2019</c:v>
                </c:pt>
              </c:numCache>
            </c:numRef>
          </c:cat>
          <c:val>
            <c:numRef>
              <c:f>'Rendibilitat econòmica'!$D$10:$H$10</c:f>
              <c:numCache>
                <c:formatCode>0.00%</c:formatCode>
                <c:ptCount val="5"/>
                <c:pt idx="0">
                  <c:v>2.4500000000000001E-2</c:v>
                </c:pt>
                <c:pt idx="1">
                  <c:v>4.87E-2</c:v>
                </c:pt>
                <c:pt idx="2">
                  <c:v>4.5400000000000003E-2</c:v>
                </c:pt>
                <c:pt idx="3">
                  <c:v>5.11E-2</c:v>
                </c:pt>
                <c:pt idx="4">
                  <c:v>7.4099999999999999E-2</c:v>
                </c:pt>
              </c:numCache>
            </c:numRef>
          </c:val>
          <c:smooth val="0"/>
          <c:extLst>
            <c:ext xmlns:c16="http://schemas.microsoft.com/office/drawing/2014/chart" uri="{C3380CC4-5D6E-409C-BE32-E72D297353CC}">
              <c16:uniqueId val="{00000002-4AB6-7840-9ED1-B7500C26C015}"/>
            </c:ext>
          </c:extLst>
        </c:ser>
        <c:ser>
          <c:idx val="3"/>
          <c:order val="3"/>
          <c:tx>
            <c:strRef>
              <c:f>'Rendibilitat econòmica'!$C$11</c:f>
              <c:strCache>
                <c:ptCount val="1"/>
                <c:pt idx="0">
                  <c:v>Neogen</c:v>
                </c:pt>
              </c:strCache>
            </c:strRef>
          </c:tx>
          <c:spPr>
            <a:ln w="28575" cap="rnd">
              <a:solidFill>
                <a:schemeClr val="accent4"/>
              </a:solidFill>
              <a:round/>
            </a:ln>
            <a:effectLst/>
          </c:spPr>
          <c:marker>
            <c:symbol val="none"/>
          </c:marker>
          <c:cat>
            <c:numRef>
              <c:f>'Rendibilitat econòmica'!$D$7:$H$7</c:f>
              <c:numCache>
                <c:formatCode>General</c:formatCode>
                <c:ptCount val="5"/>
                <c:pt idx="0">
                  <c:v>2015</c:v>
                </c:pt>
                <c:pt idx="1">
                  <c:v>2016</c:v>
                </c:pt>
                <c:pt idx="2">
                  <c:v>2017</c:v>
                </c:pt>
                <c:pt idx="3">
                  <c:v>2018</c:v>
                </c:pt>
                <c:pt idx="4">
                  <c:v>2019</c:v>
                </c:pt>
              </c:numCache>
            </c:numRef>
          </c:cat>
          <c:val>
            <c:numRef>
              <c:f>'Rendibilitat econòmica'!$D$11:$H$11</c:f>
              <c:numCache>
                <c:formatCode>0.00%</c:formatCode>
                <c:ptCount val="5"/>
                <c:pt idx="0">
                  <c:v>0.13519999999999999</c:v>
                </c:pt>
                <c:pt idx="1">
                  <c:v>0.1244</c:v>
                </c:pt>
                <c:pt idx="2">
                  <c:v>0.1231</c:v>
                </c:pt>
                <c:pt idx="3">
                  <c:v>0.1133</c:v>
                </c:pt>
                <c:pt idx="4">
                  <c:v>9.7699999999999995E-2</c:v>
                </c:pt>
              </c:numCache>
            </c:numRef>
          </c:val>
          <c:smooth val="0"/>
          <c:extLst>
            <c:ext xmlns:c16="http://schemas.microsoft.com/office/drawing/2014/chart" uri="{C3380CC4-5D6E-409C-BE32-E72D297353CC}">
              <c16:uniqueId val="{00000003-4AB6-7840-9ED1-B7500C26C015}"/>
            </c:ext>
          </c:extLst>
        </c:ser>
        <c:ser>
          <c:idx val="4"/>
          <c:order val="4"/>
          <c:tx>
            <c:strRef>
              <c:f>'Rendibilitat econòmica'!$C$12</c:f>
              <c:strCache>
                <c:ptCount val="1"/>
                <c:pt idx="0">
                  <c:v>Phibro</c:v>
                </c:pt>
              </c:strCache>
            </c:strRef>
          </c:tx>
          <c:spPr>
            <a:ln w="28575" cap="rnd">
              <a:solidFill>
                <a:schemeClr val="accent5"/>
              </a:solidFill>
              <a:round/>
            </a:ln>
            <a:effectLst/>
          </c:spPr>
          <c:marker>
            <c:symbol val="none"/>
          </c:marker>
          <c:cat>
            <c:numRef>
              <c:f>'Rendibilitat econòmica'!$D$7:$H$7</c:f>
              <c:numCache>
                <c:formatCode>General</c:formatCode>
                <c:ptCount val="5"/>
                <c:pt idx="0">
                  <c:v>2015</c:v>
                </c:pt>
                <c:pt idx="1">
                  <c:v>2016</c:v>
                </c:pt>
                <c:pt idx="2">
                  <c:v>2017</c:v>
                </c:pt>
                <c:pt idx="3">
                  <c:v>2018</c:v>
                </c:pt>
                <c:pt idx="4">
                  <c:v>2019</c:v>
                </c:pt>
              </c:numCache>
            </c:numRef>
          </c:cat>
          <c:val>
            <c:numRef>
              <c:f>'Rendibilitat econòmica'!$D$12:$H$12</c:f>
              <c:numCache>
                <c:formatCode>0.00%</c:formatCode>
                <c:ptCount val="5"/>
                <c:pt idx="0">
                  <c:v>0.17849999999999999</c:v>
                </c:pt>
                <c:pt idx="1">
                  <c:v>0.1414</c:v>
                </c:pt>
                <c:pt idx="2">
                  <c:v>0.1573</c:v>
                </c:pt>
                <c:pt idx="3">
                  <c:v>0.14729999999999999</c:v>
                </c:pt>
                <c:pt idx="4">
                  <c:v>0.1142</c:v>
                </c:pt>
              </c:numCache>
            </c:numRef>
          </c:val>
          <c:smooth val="0"/>
          <c:extLst>
            <c:ext xmlns:c16="http://schemas.microsoft.com/office/drawing/2014/chart" uri="{C3380CC4-5D6E-409C-BE32-E72D297353CC}">
              <c16:uniqueId val="{00000004-4AB6-7840-9ED1-B7500C26C015}"/>
            </c:ext>
          </c:extLst>
        </c:ser>
        <c:ser>
          <c:idx val="5"/>
          <c:order val="5"/>
          <c:tx>
            <c:strRef>
              <c:f>'Rendibilitat econòmica'!$C$13</c:f>
              <c:strCache>
                <c:ptCount val="1"/>
                <c:pt idx="0">
                  <c:v>Hipra</c:v>
                </c:pt>
              </c:strCache>
            </c:strRef>
          </c:tx>
          <c:spPr>
            <a:ln w="28575" cap="rnd">
              <a:solidFill>
                <a:schemeClr val="accent6"/>
              </a:solidFill>
              <a:round/>
            </a:ln>
            <a:effectLst/>
          </c:spPr>
          <c:marker>
            <c:symbol val="none"/>
          </c:marker>
          <c:cat>
            <c:numRef>
              <c:f>'Rendibilitat econòmica'!$D$7:$H$7</c:f>
              <c:numCache>
                <c:formatCode>General</c:formatCode>
                <c:ptCount val="5"/>
                <c:pt idx="0">
                  <c:v>2015</c:v>
                </c:pt>
                <c:pt idx="1">
                  <c:v>2016</c:v>
                </c:pt>
                <c:pt idx="2">
                  <c:v>2017</c:v>
                </c:pt>
                <c:pt idx="3">
                  <c:v>2018</c:v>
                </c:pt>
                <c:pt idx="4">
                  <c:v>2019</c:v>
                </c:pt>
              </c:numCache>
            </c:numRef>
          </c:cat>
          <c:val>
            <c:numRef>
              <c:f>'Rendibilitat econòmica'!$D$13:$H$13</c:f>
              <c:numCache>
                <c:formatCode>0.00%</c:formatCode>
                <c:ptCount val="5"/>
                <c:pt idx="0">
                  <c:v>0.19289999999999999</c:v>
                </c:pt>
                <c:pt idx="1">
                  <c:v>0.16220000000000001</c:v>
                </c:pt>
                <c:pt idx="2">
                  <c:v>0.17899999999999999</c:v>
                </c:pt>
                <c:pt idx="3">
                  <c:v>0.15340000000000001</c:v>
                </c:pt>
                <c:pt idx="4">
                  <c:v>0.14330000000000001</c:v>
                </c:pt>
              </c:numCache>
            </c:numRef>
          </c:val>
          <c:smooth val="0"/>
          <c:extLst>
            <c:ext xmlns:c16="http://schemas.microsoft.com/office/drawing/2014/chart" uri="{C3380CC4-5D6E-409C-BE32-E72D297353CC}">
              <c16:uniqueId val="{00000005-4AB6-7840-9ED1-B7500C26C015}"/>
            </c:ext>
          </c:extLst>
        </c:ser>
        <c:ser>
          <c:idx val="6"/>
          <c:order val="6"/>
          <c:tx>
            <c:strRef>
              <c:f>'Rendibilitat econòmica'!$C$14</c:f>
              <c:strCache>
                <c:ptCount val="1"/>
                <c:pt idx="0">
                  <c:v>Mitjana sectorial</c:v>
                </c:pt>
              </c:strCache>
            </c:strRef>
          </c:tx>
          <c:spPr>
            <a:ln w="28575" cap="rnd">
              <a:solidFill>
                <a:schemeClr val="accent1">
                  <a:lumMod val="60000"/>
                </a:schemeClr>
              </a:solidFill>
              <a:round/>
            </a:ln>
            <a:effectLst/>
          </c:spPr>
          <c:marker>
            <c:symbol val="none"/>
          </c:marker>
          <c:cat>
            <c:numRef>
              <c:f>'Rendibilitat econòmica'!$D$7:$H$7</c:f>
              <c:numCache>
                <c:formatCode>General</c:formatCode>
                <c:ptCount val="5"/>
                <c:pt idx="0">
                  <c:v>2015</c:v>
                </c:pt>
                <c:pt idx="1">
                  <c:v>2016</c:v>
                </c:pt>
                <c:pt idx="2">
                  <c:v>2017</c:v>
                </c:pt>
                <c:pt idx="3">
                  <c:v>2018</c:v>
                </c:pt>
                <c:pt idx="4">
                  <c:v>2019</c:v>
                </c:pt>
              </c:numCache>
            </c:numRef>
          </c:cat>
          <c:val>
            <c:numRef>
              <c:f>'Rendibilitat econòmica'!$D$14:$H$14</c:f>
              <c:numCache>
                <c:formatCode>0.00%</c:formatCode>
                <c:ptCount val="5"/>
                <c:pt idx="0">
                  <c:v>0.15216666666666667</c:v>
                </c:pt>
                <c:pt idx="1">
                  <c:v>0.14111666666666667</c:v>
                </c:pt>
                <c:pt idx="2">
                  <c:v>0.15053333333333332</c:v>
                </c:pt>
                <c:pt idx="3">
                  <c:v>0.15531666666666666</c:v>
                </c:pt>
                <c:pt idx="4">
                  <c:v>0.14086666666666667</c:v>
                </c:pt>
              </c:numCache>
            </c:numRef>
          </c:val>
          <c:smooth val="0"/>
          <c:extLst>
            <c:ext xmlns:c16="http://schemas.microsoft.com/office/drawing/2014/chart" uri="{C3380CC4-5D6E-409C-BE32-E72D297353CC}">
              <c16:uniqueId val="{00000006-4AB6-7840-9ED1-B7500C26C015}"/>
            </c:ext>
          </c:extLst>
        </c:ser>
        <c:dLbls>
          <c:showLegendKey val="0"/>
          <c:showVal val="0"/>
          <c:showCatName val="0"/>
          <c:showSerName val="0"/>
          <c:showPercent val="0"/>
          <c:showBubbleSize val="0"/>
        </c:dLbls>
        <c:smooth val="0"/>
        <c:axId val="1311997568"/>
        <c:axId val="1312486032"/>
      </c:lineChart>
      <c:catAx>
        <c:axId val="131199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312486032"/>
        <c:crosses val="autoZero"/>
        <c:auto val="1"/>
        <c:lblAlgn val="ctr"/>
        <c:lblOffset val="100"/>
        <c:noMultiLvlLbl val="0"/>
      </c:catAx>
      <c:valAx>
        <c:axId val="13124860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311997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7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'Rendibilitat econòmica'!$J$8</c:f>
              <c:strCache>
                <c:ptCount val="1"/>
                <c:pt idx="0">
                  <c:v>Zoetis</c:v>
                </c:pt>
              </c:strCache>
            </c:strRef>
          </c:tx>
          <c:spPr>
            <a:ln w="28575" cap="rnd">
              <a:solidFill>
                <a:schemeClr val="accent1"/>
              </a:solidFill>
              <a:round/>
            </a:ln>
            <a:effectLst/>
          </c:spPr>
          <c:marker>
            <c:symbol val="none"/>
          </c:marker>
          <c:cat>
            <c:numRef>
              <c:f>'Rendibilitat econòmica'!$K$7:$O$7</c:f>
              <c:numCache>
                <c:formatCode>General</c:formatCode>
                <c:ptCount val="5"/>
                <c:pt idx="0">
                  <c:v>2015</c:v>
                </c:pt>
                <c:pt idx="1">
                  <c:v>2016</c:v>
                </c:pt>
                <c:pt idx="2">
                  <c:v>2017</c:v>
                </c:pt>
                <c:pt idx="3">
                  <c:v>2018</c:v>
                </c:pt>
                <c:pt idx="4">
                  <c:v>2019</c:v>
                </c:pt>
              </c:numCache>
            </c:numRef>
          </c:cat>
          <c:val>
            <c:numRef>
              <c:f>'Rendibilitat econòmica'!$K$8:$O$8</c:f>
              <c:numCache>
                <c:formatCode>0.00</c:formatCode>
                <c:ptCount val="5"/>
                <c:pt idx="0">
                  <c:v>0.09</c:v>
                </c:pt>
                <c:pt idx="1">
                  <c:v>0.22</c:v>
                </c:pt>
                <c:pt idx="2">
                  <c:v>0.25</c:v>
                </c:pt>
                <c:pt idx="3">
                  <c:v>0.25</c:v>
                </c:pt>
                <c:pt idx="4">
                  <c:v>0.25</c:v>
                </c:pt>
              </c:numCache>
            </c:numRef>
          </c:val>
          <c:smooth val="0"/>
          <c:extLst>
            <c:ext xmlns:c16="http://schemas.microsoft.com/office/drawing/2014/chart" uri="{C3380CC4-5D6E-409C-BE32-E72D297353CC}">
              <c16:uniqueId val="{00000000-BD18-384A-9C2B-51F90056B14D}"/>
            </c:ext>
          </c:extLst>
        </c:ser>
        <c:ser>
          <c:idx val="1"/>
          <c:order val="1"/>
          <c:tx>
            <c:strRef>
              <c:f>'Rendibilitat econòmica'!$J$9</c:f>
              <c:strCache>
                <c:ptCount val="1"/>
                <c:pt idx="0">
                  <c:v>IDEXX</c:v>
                </c:pt>
              </c:strCache>
            </c:strRef>
          </c:tx>
          <c:spPr>
            <a:ln w="28575" cap="rnd">
              <a:solidFill>
                <a:schemeClr val="accent2"/>
              </a:solidFill>
              <a:round/>
            </a:ln>
            <a:effectLst/>
          </c:spPr>
          <c:marker>
            <c:symbol val="none"/>
          </c:marker>
          <c:cat>
            <c:numRef>
              <c:f>'Rendibilitat econòmica'!$K$7:$O$7</c:f>
              <c:numCache>
                <c:formatCode>General</c:formatCode>
                <c:ptCount val="5"/>
                <c:pt idx="0">
                  <c:v>2015</c:v>
                </c:pt>
                <c:pt idx="1">
                  <c:v>2016</c:v>
                </c:pt>
                <c:pt idx="2">
                  <c:v>2017</c:v>
                </c:pt>
                <c:pt idx="3">
                  <c:v>2018</c:v>
                </c:pt>
                <c:pt idx="4">
                  <c:v>2019</c:v>
                </c:pt>
              </c:numCache>
            </c:numRef>
          </c:cat>
          <c:val>
            <c:numRef>
              <c:f>'Rendibilitat econòmica'!$K$9:$O$9</c:f>
              <c:numCache>
                <c:formatCode>0.00</c:formatCode>
                <c:ptCount val="5"/>
                <c:pt idx="0">
                  <c:v>0.19</c:v>
                </c:pt>
                <c:pt idx="1">
                  <c:v>0.2</c:v>
                </c:pt>
                <c:pt idx="2">
                  <c:v>0.21</c:v>
                </c:pt>
                <c:pt idx="3">
                  <c:v>0.22</c:v>
                </c:pt>
                <c:pt idx="4">
                  <c:v>0.23</c:v>
                </c:pt>
              </c:numCache>
            </c:numRef>
          </c:val>
          <c:smooth val="0"/>
          <c:extLst>
            <c:ext xmlns:c16="http://schemas.microsoft.com/office/drawing/2014/chart" uri="{C3380CC4-5D6E-409C-BE32-E72D297353CC}">
              <c16:uniqueId val="{00000001-BD18-384A-9C2B-51F90056B14D}"/>
            </c:ext>
          </c:extLst>
        </c:ser>
        <c:ser>
          <c:idx val="2"/>
          <c:order val="2"/>
          <c:tx>
            <c:strRef>
              <c:f>'Rendibilitat econòmica'!$J$10</c:f>
              <c:strCache>
                <c:ptCount val="1"/>
                <c:pt idx="0">
                  <c:v>Virbac</c:v>
                </c:pt>
              </c:strCache>
            </c:strRef>
          </c:tx>
          <c:spPr>
            <a:ln w="28575" cap="rnd">
              <a:solidFill>
                <a:schemeClr val="accent3"/>
              </a:solidFill>
              <a:round/>
            </a:ln>
            <a:effectLst/>
          </c:spPr>
          <c:marker>
            <c:symbol val="none"/>
          </c:marker>
          <c:cat>
            <c:numRef>
              <c:f>'Rendibilitat econòmica'!$K$7:$O$7</c:f>
              <c:numCache>
                <c:formatCode>General</c:formatCode>
                <c:ptCount val="5"/>
                <c:pt idx="0">
                  <c:v>2015</c:v>
                </c:pt>
                <c:pt idx="1">
                  <c:v>2016</c:v>
                </c:pt>
                <c:pt idx="2">
                  <c:v>2017</c:v>
                </c:pt>
                <c:pt idx="3">
                  <c:v>2018</c:v>
                </c:pt>
                <c:pt idx="4">
                  <c:v>2019</c:v>
                </c:pt>
              </c:numCache>
            </c:numRef>
          </c:cat>
          <c:val>
            <c:numRef>
              <c:f>'Rendibilitat econòmica'!$K$10:$O$10</c:f>
              <c:numCache>
                <c:formatCode>0.00</c:formatCode>
                <c:ptCount val="5"/>
                <c:pt idx="0">
                  <c:v>0.04</c:v>
                </c:pt>
                <c:pt idx="1">
                  <c:v>0.08</c:v>
                </c:pt>
                <c:pt idx="2">
                  <c:v>7.0000000000000007E-2</c:v>
                </c:pt>
                <c:pt idx="3">
                  <c:v>7.0000000000000007E-2</c:v>
                </c:pt>
                <c:pt idx="4">
                  <c:v>0.1</c:v>
                </c:pt>
              </c:numCache>
            </c:numRef>
          </c:val>
          <c:smooth val="0"/>
          <c:extLst>
            <c:ext xmlns:c16="http://schemas.microsoft.com/office/drawing/2014/chart" uri="{C3380CC4-5D6E-409C-BE32-E72D297353CC}">
              <c16:uniqueId val="{00000002-BD18-384A-9C2B-51F90056B14D}"/>
            </c:ext>
          </c:extLst>
        </c:ser>
        <c:ser>
          <c:idx val="3"/>
          <c:order val="3"/>
          <c:tx>
            <c:strRef>
              <c:f>'Rendibilitat econòmica'!$J$11</c:f>
              <c:strCache>
                <c:ptCount val="1"/>
                <c:pt idx="0">
                  <c:v>Neogen</c:v>
                </c:pt>
              </c:strCache>
            </c:strRef>
          </c:tx>
          <c:spPr>
            <a:ln w="28575" cap="rnd">
              <a:solidFill>
                <a:schemeClr val="accent4"/>
              </a:solidFill>
              <a:round/>
            </a:ln>
            <a:effectLst/>
          </c:spPr>
          <c:marker>
            <c:symbol val="none"/>
          </c:marker>
          <c:cat>
            <c:numRef>
              <c:f>'Rendibilitat econòmica'!$K$7:$O$7</c:f>
              <c:numCache>
                <c:formatCode>General</c:formatCode>
                <c:ptCount val="5"/>
                <c:pt idx="0">
                  <c:v>2015</c:v>
                </c:pt>
                <c:pt idx="1">
                  <c:v>2016</c:v>
                </c:pt>
                <c:pt idx="2">
                  <c:v>2017</c:v>
                </c:pt>
                <c:pt idx="3">
                  <c:v>2018</c:v>
                </c:pt>
                <c:pt idx="4">
                  <c:v>2019</c:v>
                </c:pt>
              </c:numCache>
            </c:numRef>
          </c:cat>
          <c:val>
            <c:numRef>
              <c:f>'Rendibilitat econòmica'!$K$11:$O$11</c:f>
              <c:numCache>
                <c:formatCode>0.00</c:formatCode>
                <c:ptCount val="5"/>
                <c:pt idx="0">
                  <c:v>0.19</c:v>
                </c:pt>
                <c:pt idx="1">
                  <c:v>0.17</c:v>
                </c:pt>
                <c:pt idx="2">
                  <c:v>0.18</c:v>
                </c:pt>
                <c:pt idx="3">
                  <c:v>0.18</c:v>
                </c:pt>
                <c:pt idx="4">
                  <c:v>0.16</c:v>
                </c:pt>
              </c:numCache>
            </c:numRef>
          </c:val>
          <c:smooth val="0"/>
          <c:extLst>
            <c:ext xmlns:c16="http://schemas.microsoft.com/office/drawing/2014/chart" uri="{C3380CC4-5D6E-409C-BE32-E72D297353CC}">
              <c16:uniqueId val="{00000003-BD18-384A-9C2B-51F90056B14D}"/>
            </c:ext>
          </c:extLst>
        </c:ser>
        <c:ser>
          <c:idx val="4"/>
          <c:order val="4"/>
          <c:tx>
            <c:strRef>
              <c:f>'Rendibilitat econòmica'!$J$12</c:f>
              <c:strCache>
                <c:ptCount val="1"/>
                <c:pt idx="0">
                  <c:v>Phibro</c:v>
                </c:pt>
              </c:strCache>
            </c:strRef>
          </c:tx>
          <c:spPr>
            <a:ln w="28575" cap="rnd">
              <a:solidFill>
                <a:schemeClr val="accent5"/>
              </a:solidFill>
              <a:round/>
            </a:ln>
            <a:effectLst/>
          </c:spPr>
          <c:marker>
            <c:symbol val="none"/>
          </c:marker>
          <c:cat>
            <c:numRef>
              <c:f>'Rendibilitat econòmica'!$K$7:$O$7</c:f>
              <c:numCache>
                <c:formatCode>General</c:formatCode>
                <c:ptCount val="5"/>
                <c:pt idx="0">
                  <c:v>2015</c:v>
                </c:pt>
                <c:pt idx="1">
                  <c:v>2016</c:v>
                </c:pt>
                <c:pt idx="2">
                  <c:v>2017</c:v>
                </c:pt>
                <c:pt idx="3">
                  <c:v>2018</c:v>
                </c:pt>
                <c:pt idx="4">
                  <c:v>2019</c:v>
                </c:pt>
              </c:numCache>
            </c:numRef>
          </c:cat>
          <c:val>
            <c:numRef>
              <c:f>'Rendibilitat econòmica'!$K$12:$O$12</c:f>
              <c:numCache>
                <c:formatCode>0.00</c:formatCode>
                <c:ptCount val="5"/>
                <c:pt idx="0">
                  <c:v>0.12</c:v>
                </c:pt>
                <c:pt idx="1">
                  <c:v>0.11</c:v>
                </c:pt>
                <c:pt idx="2">
                  <c:v>0.13</c:v>
                </c:pt>
                <c:pt idx="3">
                  <c:v>0.12</c:v>
                </c:pt>
                <c:pt idx="4">
                  <c:v>0.1</c:v>
                </c:pt>
              </c:numCache>
            </c:numRef>
          </c:val>
          <c:smooth val="0"/>
          <c:extLst>
            <c:ext xmlns:c16="http://schemas.microsoft.com/office/drawing/2014/chart" uri="{C3380CC4-5D6E-409C-BE32-E72D297353CC}">
              <c16:uniqueId val="{00000004-BD18-384A-9C2B-51F90056B14D}"/>
            </c:ext>
          </c:extLst>
        </c:ser>
        <c:ser>
          <c:idx val="5"/>
          <c:order val="5"/>
          <c:tx>
            <c:strRef>
              <c:f>'Rendibilitat econòmica'!$J$13</c:f>
              <c:strCache>
                <c:ptCount val="1"/>
                <c:pt idx="0">
                  <c:v>Hipra</c:v>
                </c:pt>
              </c:strCache>
            </c:strRef>
          </c:tx>
          <c:spPr>
            <a:ln w="28575" cap="rnd">
              <a:solidFill>
                <a:schemeClr val="accent6"/>
              </a:solidFill>
              <a:round/>
            </a:ln>
            <a:effectLst/>
          </c:spPr>
          <c:marker>
            <c:symbol val="none"/>
          </c:marker>
          <c:cat>
            <c:numRef>
              <c:f>'Rendibilitat econòmica'!$K$7:$O$7</c:f>
              <c:numCache>
                <c:formatCode>General</c:formatCode>
                <c:ptCount val="5"/>
                <c:pt idx="0">
                  <c:v>2015</c:v>
                </c:pt>
                <c:pt idx="1">
                  <c:v>2016</c:v>
                </c:pt>
                <c:pt idx="2">
                  <c:v>2017</c:v>
                </c:pt>
                <c:pt idx="3">
                  <c:v>2018</c:v>
                </c:pt>
                <c:pt idx="4">
                  <c:v>2019</c:v>
                </c:pt>
              </c:numCache>
            </c:numRef>
          </c:cat>
          <c:val>
            <c:numRef>
              <c:f>'Rendibilitat econòmica'!$K$13:$O$13</c:f>
              <c:numCache>
                <c:formatCode>0.00</c:formatCode>
                <c:ptCount val="5"/>
                <c:pt idx="0">
                  <c:v>0.19</c:v>
                </c:pt>
                <c:pt idx="1">
                  <c:v>0.16</c:v>
                </c:pt>
                <c:pt idx="2">
                  <c:v>0.18</c:v>
                </c:pt>
                <c:pt idx="3">
                  <c:v>0.16</c:v>
                </c:pt>
                <c:pt idx="4">
                  <c:v>0.17</c:v>
                </c:pt>
              </c:numCache>
            </c:numRef>
          </c:val>
          <c:smooth val="0"/>
          <c:extLst>
            <c:ext xmlns:c16="http://schemas.microsoft.com/office/drawing/2014/chart" uri="{C3380CC4-5D6E-409C-BE32-E72D297353CC}">
              <c16:uniqueId val="{00000005-BD18-384A-9C2B-51F90056B14D}"/>
            </c:ext>
          </c:extLst>
        </c:ser>
        <c:ser>
          <c:idx val="6"/>
          <c:order val="6"/>
          <c:tx>
            <c:strRef>
              <c:f>'Rendibilitat econòmica'!$J$14</c:f>
              <c:strCache>
                <c:ptCount val="1"/>
                <c:pt idx="0">
                  <c:v>Mitjana sectorial</c:v>
                </c:pt>
              </c:strCache>
            </c:strRef>
          </c:tx>
          <c:spPr>
            <a:ln w="28575" cap="rnd">
              <a:solidFill>
                <a:schemeClr val="accent1">
                  <a:lumMod val="60000"/>
                </a:schemeClr>
              </a:solidFill>
              <a:round/>
            </a:ln>
            <a:effectLst/>
          </c:spPr>
          <c:marker>
            <c:symbol val="none"/>
          </c:marker>
          <c:cat>
            <c:numRef>
              <c:f>'Rendibilitat econòmica'!$K$7:$O$7</c:f>
              <c:numCache>
                <c:formatCode>General</c:formatCode>
                <c:ptCount val="5"/>
                <c:pt idx="0">
                  <c:v>2015</c:v>
                </c:pt>
                <c:pt idx="1">
                  <c:v>2016</c:v>
                </c:pt>
                <c:pt idx="2">
                  <c:v>2017</c:v>
                </c:pt>
                <c:pt idx="3">
                  <c:v>2018</c:v>
                </c:pt>
                <c:pt idx="4">
                  <c:v>2019</c:v>
                </c:pt>
              </c:numCache>
            </c:numRef>
          </c:cat>
          <c:val>
            <c:numRef>
              <c:f>'Rendibilitat econòmica'!$K$14:$O$14</c:f>
              <c:numCache>
                <c:formatCode>0.00</c:formatCode>
                <c:ptCount val="5"/>
                <c:pt idx="0">
                  <c:v>0.13666666666666669</c:v>
                </c:pt>
                <c:pt idx="1">
                  <c:v>0.15666666666666668</c:v>
                </c:pt>
                <c:pt idx="2">
                  <c:v>0.17</c:v>
                </c:pt>
                <c:pt idx="3">
                  <c:v>0.16666666666666666</c:v>
                </c:pt>
                <c:pt idx="4">
                  <c:v>0.16833333333333333</c:v>
                </c:pt>
              </c:numCache>
            </c:numRef>
          </c:val>
          <c:smooth val="0"/>
          <c:extLst>
            <c:ext xmlns:c16="http://schemas.microsoft.com/office/drawing/2014/chart" uri="{C3380CC4-5D6E-409C-BE32-E72D297353CC}">
              <c16:uniqueId val="{00000006-BD18-384A-9C2B-51F90056B14D}"/>
            </c:ext>
          </c:extLst>
        </c:ser>
        <c:dLbls>
          <c:showLegendKey val="0"/>
          <c:showVal val="0"/>
          <c:showCatName val="0"/>
          <c:showSerName val="0"/>
          <c:showPercent val="0"/>
          <c:showBubbleSize val="0"/>
        </c:dLbls>
        <c:smooth val="0"/>
        <c:axId val="1272241248"/>
        <c:axId val="1255275344"/>
      </c:lineChart>
      <c:catAx>
        <c:axId val="127224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255275344"/>
        <c:crosses val="autoZero"/>
        <c:auto val="1"/>
        <c:lblAlgn val="ctr"/>
        <c:lblOffset val="100"/>
        <c:noMultiLvlLbl val="0"/>
      </c:catAx>
      <c:valAx>
        <c:axId val="12552753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272241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7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'Rendibilitat econòmica'!$Q$8</c:f>
              <c:strCache>
                <c:ptCount val="1"/>
                <c:pt idx="0">
                  <c:v>Zoetis</c:v>
                </c:pt>
              </c:strCache>
            </c:strRef>
          </c:tx>
          <c:spPr>
            <a:ln w="28575" cap="rnd">
              <a:solidFill>
                <a:schemeClr val="accent1"/>
              </a:solidFill>
              <a:round/>
            </a:ln>
            <a:effectLst/>
          </c:spPr>
          <c:marker>
            <c:symbol val="none"/>
          </c:marker>
          <c:cat>
            <c:numRef>
              <c:f>'Rendibilitat econòmica'!$R$7:$V$7</c:f>
              <c:numCache>
                <c:formatCode>General</c:formatCode>
                <c:ptCount val="5"/>
                <c:pt idx="0">
                  <c:v>2015</c:v>
                </c:pt>
                <c:pt idx="1">
                  <c:v>2016</c:v>
                </c:pt>
                <c:pt idx="2">
                  <c:v>2017</c:v>
                </c:pt>
                <c:pt idx="3">
                  <c:v>2018</c:v>
                </c:pt>
                <c:pt idx="4">
                  <c:v>2019</c:v>
                </c:pt>
              </c:numCache>
            </c:numRef>
          </c:cat>
          <c:val>
            <c:numRef>
              <c:f>'Rendibilitat econòmica'!$R$8:$V$8</c:f>
              <c:numCache>
                <c:formatCode>0.00</c:formatCode>
                <c:ptCount val="5"/>
                <c:pt idx="0">
                  <c:v>0.6</c:v>
                </c:pt>
                <c:pt idx="1">
                  <c:v>0.64</c:v>
                </c:pt>
                <c:pt idx="2">
                  <c:v>0.62</c:v>
                </c:pt>
                <c:pt idx="3">
                  <c:v>0.54</c:v>
                </c:pt>
                <c:pt idx="4">
                  <c:v>0.54</c:v>
                </c:pt>
              </c:numCache>
            </c:numRef>
          </c:val>
          <c:smooth val="0"/>
          <c:extLst>
            <c:ext xmlns:c16="http://schemas.microsoft.com/office/drawing/2014/chart" uri="{C3380CC4-5D6E-409C-BE32-E72D297353CC}">
              <c16:uniqueId val="{00000000-1DF3-7449-975F-B071F2BA054D}"/>
            </c:ext>
          </c:extLst>
        </c:ser>
        <c:ser>
          <c:idx val="1"/>
          <c:order val="1"/>
          <c:tx>
            <c:strRef>
              <c:f>'Rendibilitat econòmica'!$Q$9</c:f>
              <c:strCache>
                <c:ptCount val="1"/>
                <c:pt idx="0">
                  <c:v>IDEXX</c:v>
                </c:pt>
              </c:strCache>
            </c:strRef>
          </c:tx>
          <c:spPr>
            <a:ln w="28575" cap="rnd">
              <a:solidFill>
                <a:schemeClr val="accent2"/>
              </a:solidFill>
              <a:round/>
            </a:ln>
            <a:effectLst/>
          </c:spPr>
          <c:marker>
            <c:symbol val="none"/>
          </c:marker>
          <c:cat>
            <c:numRef>
              <c:f>'Rendibilitat econòmica'!$R$7:$V$7</c:f>
              <c:numCache>
                <c:formatCode>General</c:formatCode>
                <c:ptCount val="5"/>
                <c:pt idx="0">
                  <c:v>2015</c:v>
                </c:pt>
                <c:pt idx="1">
                  <c:v>2016</c:v>
                </c:pt>
                <c:pt idx="2">
                  <c:v>2017</c:v>
                </c:pt>
                <c:pt idx="3">
                  <c:v>2018</c:v>
                </c:pt>
                <c:pt idx="4">
                  <c:v>2019</c:v>
                </c:pt>
              </c:numCache>
            </c:numRef>
          </c:cat>
          <c:val>
            <c:numRef>
              <c:f>'Rendibilitat econòmica'!$R$9:$V$9</c:f>
              <c:numCache>
                <c:formatCode>0.00</c:formatCode>
                <c:ptCount val="5"/>
                <c:pt idx="0">
                  <c:v>1.0900000000000001</c:v>
                </c:pt>
                <c:pt idx="1">
                  <c:v>1.1599999999999999</c:v>
                </c:pt>
                <c:pt idx="2">
                  <c:v>1.1499999999999999</c:v>
                </c:pt>
                <c:pt idx="3">
                  <c:v>1.44</c:v>
                </c:pt>
                <c:pt idx="4">
                  <c:v>1.31</c:v>
                </c:pt>
              </c:numCache>
            </c:numRef>
          </c:val>
          <c:smooth val="0"/>
          <c:extLst>
            <c:ext xmlns:c16="http://schemas.microsoft.com/office/drawing/2014/chart" uri="{C3380CC4-5D6E-409C-BE32-E72D297353CC}">
              <c16:uniqueId val="{00000001-1DF3-7449-975F-B071F2BA054D}"/>
            </c:ext>
          </c:extLst>
        </c:ser>
        <c:ser>
          <c:idx val="2"/>
          <c:order val="2"/>
          <c:tx>
            <c:strRef>
              <c:f>'Rendibilitat econòmica'!$Q$10</c:f>
              <c:strCache>
                <c:ptCount val="1"/>
                <c:pt idx="0">
                  <c:v>Virbac</c:v>
                </c:pt>
              </c:strCache>
            </c:strRef>
          </c:tx>
          <c:spPr>
            <a:ln w="28575" cap="rnd">
              <a:solidFill>
                <a:schemeClr val="accent3"/>
              </a:solidFill>
              <a:round/>
            </a:ln>
            <a:effectLst/>
          </c:spPr>
          <c:marker>
            <c:symbol val="none"/>
          </c:marker>
          <c:cat>
            <c:numRef>
              <c:f>'Rendibilitat econòmica'!$R$7:$V$7</c:f>
              <c:numCache>
                <c:formatCode>General</c:formatCode>
                <c:ptCount val="5"/>
                <c:pt idx="0">
                  <c:v>2015</c:v>
                </c:pt>
                <c:pt idx="1">
                  <c:v>2016</c:v>
                </c:pt>
                <c:pt idx="2">
                  <c:v>2017</c:v>
                </c:pt>
                <c:pt idx="3">
                  <c:v>2018</c:v>
                </c:pt>
                <c:pt idx="4">
                  <c:v>2019</c:v>
                </c:pt>
              </c:numCache>
            </c:numRef>
          </c:cat>
          <c:val>
            <c:numRef>
              <c:f>'Rendibilitat econòmica'!$R$10:$V$10</c:f>
              <c:numCache>
                <c:formatCode>0.00</c:formatCode>
                <c:ptCount val="5"/>
                <c:pt idx="0">
                  <c:v>0.6</c:v>
                </c:pt>
                <c:pt idx="1">
                  <c:v>0.61</c:v>
                </c:pt>
                <c:pt idx="2">
                  <c:v>0.67</c:v>
                </c:pt>
                <c:pt idx="3">
                  <c:v>0.68</c:v>
                </c:pt>
                <c:pt idx="4">
                  <c:v>0.71</c:v>
                </c:pt>
              </c:numCache>
            </c:numRef>
          </c:val>
          <c:smooth val="0"/>
          <c:extLst>
            <c:ext xmlns:c16="http://schemas.microsoft.com/office/drawing/2014/chart" uri="{C3380CC4-5D6E-409C-BE32-E72D297353CC}">
              <c16:uniqueId val="{00000002-1DF3-7449-975F-B071F2BA054D}"/>
            </c:ext>
          </c:extLst>
        </c:ser>
        <c:ser>
          <c:idx val="3"/>
          <c:order val="3"/>
          <c:tx>
            <c:strRef>
              <c:f>'Rendibilitat econòmica'!$Q$11</c:f>
              <c:strCache>
                <c:ptCount val="1"/>
                <c:pt idx="0">
                  <c:v>Neogen</c:v>
                </c:pt>
              </c:strCache>
            </c:strRef>
          </c:tx>
          <c:spPr>
            <a:ln w="28575" cap="rnd">
              <a:solidFill>
                <a:schemeClr val="accent4"/>
              </a:solidFill>
              <a:round/>
            </a:ln>
            <a:effectLst/>
          </c:spPr>
          <c:marker>
            <c:symbol val="none"/>
          </c:marker>
          <c:cat>
            <c:numRef>
              <c:f>'Rendibilitat econòmica'!$R$7:$V$7</c:f>
              <c:numCache>
                <c:formatCode>General</c:formatCode>
                <c:ptCount val="5"/>
                <c:pt idx="0">
                  <c:v>2015</c:v>
                </c:pt>
                <c:pt idx="1">
                  <c:v>2016</c:v>
                </c:pt>
                <c:pt idx="2">
                  <c:v>2017</c:v>
                </c:pt>
                <c:pt idx="3">
                  <c:v>2018</c:v>
                </c:pt>
                <c:pt idx="4">
                  <c:v>2019</c:v>
                </c:pt>
              </c:numCache>
            </c:numRef>
          </c:cat>
          <c:val>
            <c:numRef>
              <c:f>'Rendibilitat econòmica'!$R$11:$V$11</c:f>
              <c:numCache>
                <c:formatCode>0.00</c:formatCode>
                <c:ptCount val="5"/>
                <c:pt idx="0">
                  <c:v>0.72</c:v>
                </c:pt>
                <c:pt idx="1">
                  <c:v>0.71</c:v>
                </c:pt>
                <c:pt idx="2">
                  <c:v>0.69</c:v>
                </c:pt>
                <c:pt idx="3">
                  <c:v>0.64</c:v>
                </c:pt>
                <c:pt idx="4">
                  <c:v>0.59</c:v>
                </c:pt>
              </c:numCache>
            </c:numRef>
          </c:val>
          <c:smooth val="0"/>
          <c:extLst>
            <c:ext xmlns:c16="http://schemas.microsoft.com/office/drawing/2014/chart" uri="{C3380CC4-5D6E-409C-BE32-E72D297353CC}">
              <c16:uniqueId val="{00000003-1DF3-7449-975F-B071F2BA054D}"/>
            </c:ext>
          </c:extLst>
        </c:ser>
        <c:ser>
          <c:idx val="4"/>
          <c:order val="4"/>
          <c:tx>
            <c:strRef>
              <c:f>'Rendibilitat econòmica'!$Q$12</c:f>
              <c:strCache>
                <c:ptCount val="1"/>
                <c:pt idx="0">
                  <c:v>Phibro</c:v>
                </c:pt>
              </c:strCache>
            </c:strRef>
          </c:tx>
          <c:spPr>
            <a:ln w="28575" cap="rnd">
              <a:solidFill>
                <a:schemeClr val="accent5"/>
              </a:solidFill>
              <a:round/>
            </a:ln>
            <a:effectLst/>
          </c:spPr>
          <c:marker>
            <c:symbol val="none"/>
          </c:marker>
          <c:cat>
            <c:numRef>
              <c:f>'Rendibilitat econòmica'!$R$7:$V$7</c:f>
              <c:numCache>
                <c:formatCode>General</c:formatCode>
                <c:ptCount val="5"/>
                <c:pt idx="0">
                  <c:v>2015</c:v>
                </c:pt>
                <c:pt idx="1">
                  <c:v>2016</c:v>
                </c:pt>
                <c:pt idx="2">
                  <c:v>2017</c:v>
                </c:pt>
                <c:pt idx="3">
                  <c:v>2018</c:v>
                </c:pt>
                <c:pt idx="4">
                  <c:v>2019</c:v>
                </c:pt>
              </c:numCache>
            </c:numRef>
          </c:cat>
          <c:val>
            <c:numRef>
              <c:f>'Rendibilitat econòmica'!$R$12:$V$12</c:f>
              <c:numCache>
                <c:formatCode>0.00</c:formatCode>
                <c:ptCount val="5"/>
                <c:pt idx="0">
                  <c:v>1.52</c:v>
                </c:pt>
                <c:pt idx="1">
                  <c:v>1.24</c:v>
                </c:pt>
                <c:pt idx="2">
                  <c:v>1.23</c:v>
                </c:pt>
                <c:pt idx="3">
                  <c:v>1.22</c:v>
                </c:pt>
                <c:pt idx="4">
                  <c:v>1.1399999999999999</c:v>
                </c:pt>
              </c:numCache>
            </c:numRef>
          </c:val>
          <c:smooth val="0"/>
          <c:extLst>
            <c:ext xmlns:c16="http://schemas.microsoft.com/office/drawing/2014/chart" uri="{C3380CC4-5D6E-409C-BE32-E72D297353CC}">
              <c16:uniqueId val="{00000004-1DF3-7449-975F-B071F2BA054D}"/>
            </c:ext>
          </c:extLst>
        </c:ser>
        <c:ser>
          <c:idx val="5"/>
          <c:order val="5"/>
          <c:tx>
            <c:strRef>
              <c:f>'Rendibilitat econòmica'!$Q$13</c:f>
              <c:strCache>
                <c:ptCount val="1"/>
                <c:pt idx="0">
                  <c:v>Hipra</c:v>
                </c:pt>
              </c:strCache>
            </c:strRef>
          </c:tx>
          <c:spPr>
            <a:ln w="28575" cap="rnd">
              <a:solidFill>
                <a:schemeClr val="accent6"/>
              </a:solidFill>
              <a:round/>
            </a:ln>
            <a:effectLst/>
          </c:spPr>
          <c:marker>
            <c:symbol val="none"/>
          </c:marker>
          <c:cat>
            <c:numRef>
              <c:f>'Rendibilitat econòmica'!$R$7:$V$7</c:f>
              <c:numCache>
                <c:formatCode>General</c:formatCode>
                <c:ptCount val="5"/>
                <c:pt idx="0">
                  <c:v>2015</c:v>
                </c:pt>
                <c:pt idx="1">
                  <c:v>2016</c:v>
                </c:pt>
                <c:pt idx="2">
                  <c:v>2017</c:v>
                </c:pt>
                <c:pt idx="3">
                  <c:v>2018</c:v>
                </c:pt>
                <c:pt idx="4">
                  <c:v>2019</c:v>
                </c:pt>
              </c:numCache>
            </c:numRef>
          </c:cat>
          <c:val>
            <c:numRef>
              <c:f>'Rendibilitat econòmica'!$R$13:$V$13</c:f>
              <c:numCache>
                <c:formatCode>0.00</c:formatCode>
                <c:ptCount val="5"/>
                <c:pt idx="0">
                  <c:v>1.04</c:v>
                </c:pt>
                <c:pt idx="1">
                  <c:v>1.02</c:v>
                </c:pt>
                <c:pt idx="2">
                  <c:v>1.01</c:v>
                </c:pt>
                <c:pt idx="3">
                  <c:v>0.96</c:v>
                </c:pt>
                <c:pt idx="4">
                  <c:v>0.84</c:v>
                </c:pt>
              </c:numCache>
            </c:numRef>
          </c:val>
          <c:smooth val="0"/>
          <c:extLst>
            <c:ext xmlns:c16="http://schemas.microsoft.com/office/drawing/2014/chart" uri="{C3380CC4-5D6E-409C-BE32-E72D297353CC}">
              <c16:uniqueId val="{00000005-1DF3-7449-975F-B071F2BA054D}"/>
            </c:ext>
          </c:extLst>
        </c:ser>
        <c:ser>
          <c:idx val="6"/>
          <c:order val="6"/>
          <c:tx>
            <c:strRef>
              <c:f>'Rendibilitat econòmica'!$Q$14</c:f>
              <c:strCache>
                <c:ptCount val="1"/>
                <c:pt idx="0">
                  <c:v>Mitjana sectorial</c:v>
                </c:pt>
              </c:strCache>
            </c:strRef>
          </c:tx>
          <c:spPr>
            <a:ln w="28575" cap="rnd">
              <a:solidFill>
                <a:schemeClr val="accent1">
                  <a:lumMod val="60000"/>
                </a:schemeClr>
              </a:solidFill>
              <a:round/>
            </a:ln>
            <a:effectLst/>
          </c:spPr>
          <c:marker>
            <c:symbol val="none"/>
          </c:marker>
          <c:cat>
            <c:numRef>
              <c:f>'Rendibilitat econòmica'!$R$7:$V$7</c:f>
              <c:numCache>
                <c:formatCode>General</c:formatCode>
                <c:ptCount val="5"/>
                <c:pt idx="0">
                  <c:v>2015</c:v>
                </c:pt>
                <c:pt idx="1">
                  <c:v>2016</c:v>
                </c:pt>
                <c:pt idx="2">
                  <c:v>2017</c:v>
                </c:pt>
                <c:pt idx="3">
                  <c:v>2018</c:v>
                </c:pt>
                <c:pt idx="4">
                  <c:v>2019</c:v>
                </c:pt>
              </c:numCache>
            </c:numRef>
          </c:cat>
          <c:val>
            <c:numRef>
              <c:f>'Rendibilitat econòmica'!$R$14:$V$14</c:f>
              <c:numCache>
                <c:formatCode>0.00</c:formatCode>
                <c:ptCount val="5"/>
                <c:pt idx="0">
                  <c:v>0.92833333333333323</c:v>
                </c:pt>
                <c:pt idx="1">
                  <c:v>0.8966666666666665</c:v>
                </c:pt>
                <c:pt idx="2">
                  <c:v>0.89499999999999991</c:v>
                </c:pt>
                <c:pt idx="3">
                  <c:v>0.91333333333333344</c:v>
                </c:pt>
                <c:pt idx="4">
                  <c:v>0.85499999999999998</c:v>
                </c:pt>
              </c:numCache>
            </c:numRef>
          </c:val>
          <c:smooth val="0"/>
          <c:extLst>
            <c:ext xmlns:c16="http://schemas.microsoft.com/office/drawing/2014/chart" uri="{C3380CC4-5D6E-409C-BE32-E72D297353CC}">
              <c16:uniqueId val="{00000006-1DF3-7449-975F-B071F2BA054D}"/>
            </c:ext>
          </c:extLst>
        </c:ser>
        <c:dLbls>
          <c:showLegendKey val="0"/>
          <c:showVal val="0"/>
          <c:showCatName val="0"/>
          <c:showSerName val="0"/>
          <c:showPercent val="0"/>
          <c:showBubbleSize val="0"/>
        </c:dLbls>
        <c:smooth val="0"/>
        <c:axId val="1346119760"/>
        <c:axId val="1315334800"/>
      </c:lineChart>
      <c:catAx>
        <c:axId val="134611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315334800"/>
        <c:crosses val="autoZero"/>
        <c:auto val="1"/>
        <c:lblAlgn val="ctr"/>
        <c:lblOffset val="100"/>
        <c:noMultiLvlLbl val="0"/>
      </c:catAx>
      <c:valAx>
        <c:axId val="13153348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34611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7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'Rendibilitat financera'!$C$8</c:f>
              <c:strCache>
                <c:ptCount val="1"/>
                <c:pt idx="0">
                  <c:v>Zoetis</c:v>
                </c:pt>
              </c:strCache>
            </c:strRef>
          </c:tx>
          <c:spPr>
            <a:ln w="28575" cap="rnd">
              <a:solidFill>
                <a:schemeClr val="accent1"/>
              </a:solidFill>
              <a:round/>
            </a:ln>
            <a:effectLst/>
          </c:spPr>
          <c:marker>
            <c:symbol val="none"/>
          </c:marker>
          <c:cat>
            <c:numRef>
              <c:f>'Rendibilitat financera'!$D$7:$H$7</c:f>
              <c:numCache>
                <c:formatCode>General</c:formatCode>
                <c:ptCount val="5"/>
                <c:pt idx="0">
                  <c:v>2015</c:v>
                </c:pt>
                <c:pt idx="1">
                  <c:v>2016</c:v>
                </c:pt>
                <c:pt idx="2">
                  <c:v>2017</c:v>
                </c:pt>
                <c:pt idx="3">
                  <c:v>2018</c:v>
                </c:pt>
                <c:pt idx="4">
                  <c:v>2019</c:v>
                </c:pt>
              </c:numCache>
            </c:numRef>
          </c:cat>
          <c:val>
            <c:numRef>
              <c:f>'Rendibilitat financera'!$D$8:$H$8</c:f>
              <c:numCache>
                <c:formatCode>0.00%</c:formatCode>
                <c:ptCount val="5"/>
                <c:pt idx="0">
                  <c:v>0.31069999999999998</c:v>
                </c:pt>
                <c:pt idx="1">
                  <c:v>0.54769999999999996</c:v>
                </c:pt>
                <c:pt idx="2">
                  <c:v>0.48380000000000001</c:v>
                </c:pt>
                <c:pt idx="3">
                  <c:v>0.65349999999999997</c:v>
                </c:pt>
                <c:pt idx="4">
                  <c:v>0.55389999999999995</c:v>
                </c:pt>
              </c:numCache>
            </c:numRef>
          </c:val>
          <c:smooth val="0"/>
          <c:extLst>
            <c:ext xmlns:c16="http://schemas.microsoft.com/office/drawing/2014/chart" uri="{C3380CC4-5D6E-409C-BE32-E72D297353CC}">
              <c16:uniqueId val="{00000000-EE3B-8043-BBC9-03C277BF9015}"/>
            </c:ext>
          </c:extLst>
        </c:ser>
        <c:ser>
          <c:idx val="1"/>
          <c:order val="1"/>
          <c:tx>
            <c:strRef>
              <c:f>'Rendibilitat financera'!$C$9</c:f>
              <c:strCache>
                <c:ptCount val="1"/>
                <c:pt idx="0">
                  <c:v>IDEXX</c:v>
                </c:pt>
              </c:strCache>
            </c:strRef>
          </c:tx>
          <c:spPr>
            <a:ln w="28575" cap="rnd">
              <a:solidFill>
                <a:schemeClr val="accent2"/>
              </a:solidFill>
              <a:round/>
            </a:ln>
            <a:effectLst/>
          </c:spPr>
          <c:marker>
            <c:symbol val="none"/>
          </c:marker>
          <c:cat>
            <c:numRef>
              <c:f>'Rendibilitat financera'!$D$7:$H$7</c:f>
              <c:numCache>
                <c:formatCode>General</c:formatCode>
                <c:ptCount val="5"/>
                <c:pt idx="0">
                  <c:v>2015</c:v>
                </c:pt>
                <c:pt idx="1">
                  <c:v>2016</c:v>
                </c:pt>
                <c:pt idx="2">
                  <c:v>2017</c:v>
                </c:pt>
                <c:pt idx="3">
                  <c:v>2018</c:v>
                </c:pt>
                <c:pt idx="4">
                  <c:v>2019</c:v>
                </c:pt>
              </c:numCache>
            </c:numRef>
          </c:cat>
          <c:val>
            <c:numRef>
              <c:f>'Rendibilitat financera'!$D$9:$H$9</c:f>
              <c:numCache>
                <c:formatCode>0.00%</c:formatCode>
                <c:ptCount val="5"/>
                <c:pt idx="0">
                  <c:v>-2.2856999999999998</c:v>
                </c:pt>
                <c:pt idx="1">
                  <c:v>-2.0556000000000001</c:v>
                </c:pt>
                <c:pt idx="2">
                  <c:v>-4.7817999999999996</c:v>
                </c:pt>
                <c:pt idx="3">
                  <c:v>-41.8889</c:v>
                </c:pt>
                <c:pt idx="4">
                  <c:v>2.3910999999999998</c:v>
                </c:pt>
              </c:numCache>
            </c:numRef>
          </c:val>
          <c:smooth val="0"/>
          <c:extLst>
            <c:ext xmlns:c16="http://schemas.microsoft.com/office/drawing/2014/chart" uri="{C3380CC4-5D6E-409C-BE32-E72D297353CC}">
              <c16:uniqueId val="{00000001-EE3B-8043-BBC9-03C277BF9015}"/>
            </c:ext>
          </c:extLst>
        </c:ser>
        <c:ser>
          <c:idx val="2"/>
          <c:order val="2"/>
          <c:tx>
            <c:strRef>
              <c:f>'Rendibilitat financera'!$C$10</c:f>
              <c:strCache>
                <c:ptCount val="1"/>
                <c:pt idx="0">
                  <c:v>Virbac</c:v>
                </c:pt>
              </c:strCache>
            </c:strRef>
          </c:tx>
          <c:spPr>
            <a:ln w="28575" cap="rnd">
              <a:solidFill>
                <a:schemeClr val="accent3"/>
              </a:solidFill>
              <a:round/>
            </a:ln>
            <a:effectLst/>
          </c:spPr>
          <c:marker>
            <c:symbol val="none"/>
          </c:marker>
          <c:cat>
            <c:numRef>
              <c:f>'Rendibilitat financera'!$D$7:$H$7</c:f>
              <c:numCache>
                <c:formatCode>General</c:formatCode>
                <c:ptCount val="5"/>
                <c:pt idx="0">
                  <c:v>2015</c:v>
                </c:pt>
                <c:pt idx="1">
                  <c:v>2016</c:v>
                </c:pt>
                <c:pt idx="2">
                  <c:v>2017</c:v>
                </c:pt>
                <c:pt idx="3">
                  <c:v>2018</c:v>
                </c:pt>
                <c:pt idx="4">
                  <c:v>2019</c:v>
                </c:pt>
              </c:numCache>
            </c:numRef>
          </c:cat>
          <c:val>
            <c:numRef>
              <c:f>'Rendibilitat financera'!$D$10:$H$10</c:f>
              <c:numCache>
                <c:formatCode>0.00%</c:formatCode>
                <c:ptCount val="5"/>
                <c:pt idx="0">
                  <c:v>2.7E-2</c:v>
                </c:pt>
                <c:pt idx="1">
                  <c:v>6.7199999999999996E-2</c:v>
                </c:pt>
                <c:pt idx="2">
                  <c:v>6.0499999999999998E-2</c:v>
                </c:pt>
                <c:pt idx="3">
                  <c:v>6.25E-2</c:v>
                </c:pt>
                <c:pt idx="4">
                  <c:v>0.11409999999999999</c:v>
                </c:pt>
              </c:numCache>
            </c:numRef>
          </c:val>
          <c:smooth val="0"/>
          <c:extLst>
            <c:ext xmlns:c16="http://schemas.microsoft.com/office/drawing/2014/chart" uri="{C3380CC4-5D6E-409C-BE32-E72D297353CC}">
              <c16:uniqueId val="{00000002-EE3B-8043-BBC9-03C277BF9015}"/>
            </c:ext>
          </c:extLst>
        </c:ser>
        <c:ser>
          <c:idx val="3"/>
          <c:order val="3"/>
          <c:tx>
            <c:strRef>
              <c:f>'Rendibilitat financera'!$C$11</c:f>
              <c:strCache>
                <c:ptCount val="1"/>
                <c:pt idx="0">
                  <c:v>Neogen</c:v>
                </c:pt>
              </c:strCache>
            </c:strRef>
          </c:tx>
          <c:spPr>
            <a:ln w="28575" cap="rnd">
              <a:solidFill>
                <a:schemeClr val="accent4"/>
              </a:solidFill>
              <a:round/>
            </a:ln>
            <a:effectLst/>
          </c:spPr>
          <c:marker>
            <c:symbol val="none"/>
          </c:marker>
          <c:cat>
            <c:numRef>
              <c:f>'Rendibilitat financera'!$D$7:$H$7</c:f>
              <c:numCache>
                <c:formatCode>General</c:formatCode>
                <c:ptCount val="5"/>
                <c:pt idx="0">
                  <c:v>2015</c:v>
                </c:pt>
                <c:pt idx="1">
                  <c:v>2016</c:v>
                </c:pt>
                <c:pt idx="2">
                  <c:v>2017</c:v>
                </c:pt>
                <c:pt idx="3">
                  <c:v>2018</c:v>
                </c:pt>
                <c:pt idx="4">
                  <c:v>2019</c:v>
                </c:pt>
              </c:numCache>
            </c:numRef>
          </c:cat>
          <c:val>
            <c:numRef>
              <c:f>'Rendibilitat financera'!$D$11:$H$11</c:f>
              <c:numCache>
                <c:formatCode>0.00%</c:formatCode>
                <c:ptCount val="5"/>
                <c:pt idx="0">
                  <c:v>9.69E-2</c:v>
                </c:pt>
                <c:pt idx="1">
                  <c:v>9.1600000000000001E-2</c:v>
                </c:pt>
                <c:pt idx="2">
                  <c:v>9.3200000000000005E-2</c:v>
                </c:pt>
                <c:pt idx="3">
                  <c:v>0.1125</c:v>
                </c:pt>
                <c:pt idx="4">
                  <c:v>9.4E-2</c:v>
                </c:pt>
              </c:numCache>
            </c:numRef>
          </c:val>
          <c:smooth val="0"/>
          <c:extLst>
            <c:ext xmlns:c16="http://schemas.microsoft.com/office/drawing/2014/chart" uri="{C3380CC4-5D6E-409C-BE32-E72D297353CC}">
              <c16:uniqueId val="{00000003-EE3B-8043-BBC9-03C277BF9015}"/>
            </c:ext>
          </c:extLst>
        </c:ser>
        <c:ser>
          <c:idx val="4"/>
          <c:order val="4"/>
          <c:tx>
            <c:strRef>
              <c:f>'Rendibilitat financera'!$C$12</c:f>
              <c:strCache>
                <c:ptCount val="1"/>
                <c:pt idx="0">
                  <c:v>Phibro</c:v>
                </c:pt>
              </c:strCache>
            </c:strRef>
          </c:tx>
          <c:spPr>
            <a:ln w="28575" cap="rnd">
              <a:solidFill>
                <a:schemeClr val="accent5"/>
              </a:solidFill>
              <a:round/>
            </a:ln>
            <a:effectLst/>
          </c:spPr>
          <c:marker>
            <c:symbol val="none"/>
          </c:marker>
          <c:cat>
            <c:numRef>
              <c:f>'Rendibilitat financera'!$D$7:$H$7</c:f>
              <c:numCache>
                <c:formatCode>General</c:formatCode>
                <c:ptCount val="5"/>
                <c:pt idx="0">
                  <c:v>2015</c:v>
                </c:pt>
                <c:pt idx="1">
                  <c:v>2016</c:v>
                </c:pt>
                <c:pt idx="2">
                  <c:v>2017</c:v>
                </c:pt>
                <c:pt idx="3">
                  <c:v>2018</c:v>
                </c:pt>
                <c:pt idx="4">
                  <c:v>2019</c:v>
                </c:pt>
              </c:numCache>
            </c:numRef>
          </c:cat>
          <c:val>
            <c:numRef>
              <c:f>'Rendibilitat financera'!$D$12:$H$12</c:f>
              <c:numCache>
                <c:formatCode>0.00%</c:formatCode>
                <c:ptCount val="5"/>
                <c:pt idx="0">
                  <c:v>2</c:v>
                </c:pt>
                <c:pt idx="1">
                  <c:v>0.92220000000000002</c:v>
                </c:pt>
                <c:pt idx="2">
                  <c:v>0.43049999999999999</c:v>
                </c:pt>
                <c:pt idx="3">
                  <c:v>0.35139999999999999</c:v>
                </c:pt>
                <c:pt idx="4">
                  <c:v>0.25</c:v>
                </c:pt>
              </c:numCache>
            </c:numRef>
          </c:val>
          <c:smooth val="0"/>
          <c:extLst>
            <c:ext xmlns:c16="http://schemas.microsoft.com/office/drawing/2014/chart" uri="{C3380CC4-5D6E-409C-BE32-E72D297353CC}">
              <c16:uniqueId val="{00000004-EE3B-8043-BBC9-03C277BF9015}"/>
            </c:ext>
          </c:extLst>
        </c:ser>
        <c:ser>
          <c:idx val="5"/>
          <c:order val="5"/>
          <c:tx>
            <c:strRef>
              <c:f>'Rendibilitat financera'!$C$13</c:f>
              <c:strCache>
                <c:ptCount val="1"/>
                <c:pt idx="0">
                  <c:v>Hipra</c:v>
                </c:pt>
              </c:strCache>
            </c:strRef>
          </c:tx>
          <c:spPr>
            <a:ln w="28575" cap="rnd">
              <a:solidFill>
                <a:schemeClr val="accent6"/>
              </a:solidFill>
              <a:round/>
            </a:ln>
            <a:effectLst/>
          </c:spPr>
          <c:marker>
            <c:symbol val="none"/>
          </c:marker>
          <c:cat>
            <c:numRef>
              <c:f>'Rendibilitat financera'!$D$7:$H$7</c:f>
              <c:numCache>
                <c:formatCode>General</c:formatCode>
                <c:ptCount val="5"/>
                <c:pt idx="0">
                  <c:v>2015</c:v>
                </c:pt>
                <c:pt idx="1">
                  <c:v>2016</c:v>
                </c:pt>
                <c:pt idx="2">
                  <c:v>2017</c:v>
                </c:pt>
                <c:pt idx="3">
                  <c:v>2018</c:v>
                </c:pt>
                <c:pt idx="4">
                  <c:v>2019</c:v>
                </c:pt>
              </c:numCache>
            </c:numRef>
          </c:cat>
          <c:val>
            <c:numRef>
              <c:f>'Rendibilitat financera'!$D$13:$H$13</c:f>
              <c:numCache>
                <c:formatCode>0.00%</c:formatCode>
                <c:ptCount val="5"/>
                <c:pt idx="0">
                  <c:v>0.2266</c:v>
                </c:pt>
                <c:pt idx="1">
                  <c:v>0.1799</c:v>
                </c:pt>
                <c:pt idx="2">
                  <c:v>0.1799</c:v>
                </c:pt>
                <c:pt idx="3">
                  <c:v>0.16520000000000001</c:v>
                </c:pt>
                <c:pt idx="4">
                  <c:v>0.1643</c:v>
                </c:pt>
              </c:numCache>
            </c:numRef>
          </c:val>
          <c:smooth val="0"/>
          <c:extLst>
            <c:ext xmlns:c16="http://schemas.microsoft.com/office/drawing/2014/chart" uri="{C3380CC4-5D6E-409C-BE32-E72D297353CC}">
              <c16:uniqueId val="{00000005-EE3B-8043-BBC9-03C277BF9015}"/>
            </c:ext>
          </c:extLst>
        </c:ser>
        <c:ser>
          <c:idx val="6"/>
          <c:order val="6"/>
          <c:tx>
            <c:strRef>
              <c:f>'Rendibilitat financera'!$C$14</c:f>
              <c:strCache>
                <c:ptCount val="1"/>
                <c:pt idx="0">
                  <c:v>Mitjana sectorial (*)</c:v>
                </c:pt>
              </c:strCache>
            </c:strRef>
          </c:tx>
          <c:spPr>
            <a:ln w="28575" cap="rnd">
              <a:solidFill>
                <a:schemeClr val="accent1">
                  <a:lumMod val="60000"/>
                </a:schemeClr>
              </a:solidFill>
              <a:round/>
            </a:ln>
            <a:effectLst/>
          </c:spPr>
          <c:marker>
            <c:symbol val="none"/>
          </c:marker>
          <c:cat>
            <c:numRef>
              <c:f>'Rendibilitat financera'!$D$7:$H$7</c:f>
              <c:numCache>
                <c:formatCode>General</c:formatCode>
                <c:ptCount val="5"/>
                <c:pt idx="0">
                  <c:v>2015</c:v>
                </c:pt>
                <c:pt idx="1">
                  <c:v>2016</c:v>
                </c:pt>
                <c:pt idx="2">
                  <c:v>2017</c:v>
                </c:pt>
                <c:pt idx="3">
                  <c:v>2018</c:v>
                </c:pt>
                <c:pt idx="4">
                  <c:v>2019</c:v>
                </c:pt>
              </c:numCache>
            </c:numRef>
          </c:cat>
          <c:val>
            <c:numRef>
              <c:f>'Rendibilitat financera'!$D$14:$H$14</c:f>
              <c:numCache>
                <c:formatCode>0.00%</c:formatCode>
                <c:ptCount val="5"/>
                <c:pt idx="0">
                  <c:v>0.53224000000000005</c:v>
                </c:pt>
                <c:pt idx="1">
                  <c:v>0.36171999999999993</c:v>
                </c:pt>
                <c:pt idx="2">
                  <c:v>0.24958</c:v>
                </c:pt>
                <c:pt idx="3">
                  <c:v>0.26901999999999904</c:v>
                </c:pt>
                <c:pt idx="4">
                  <c:v>0.23525999999999997</c:v>
                </c:pt>
              </c:numCache>
            </c:numRef>
          </c:val>
          <c:smooth val="0"/>
          <c:extLst>
            <c:ext xmlns:c16="http://schemas.microsoft.com/office/drawing/2014/chart" uri="{C3380CC4-5D6E-409C-BE32-E72D297353CC}">
              <c16:uniqueId val="{00000006-EE3B-8043-BBC9-03C277BF9015}"/>
            </c:ext>
          </c:extLst>
        </c:ser>
        <c:dLbls>
          <c:showLegendKey val="0"/>
          <c:showVal val="0"/>
          <c:showCatName val="0"/>
          <c:showSerName val="0"/>
          <c:showPercent val="0"/>
          <c:showBubbleSize val="0"/>
        </c:dLbls>
        <c:smooth val="0"/>
        <c:axId val="1318572032"/>
        <c:axId val="1318500208"/>
      </c:lineChart>
      <c:catAx>
        <c:axId val="1318572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318500208"/>
        <c:crossesAt val="-50"/>
        <c:auto val="1"/>
        <c:lblAlgn val="ctr"/>
        <c:lblOffset val="100"/>
        <c:noMultiLvlLbl val="0"/>
      </c:catAx>
      <c:valAx>
        <c:axId val="1318500208"/>
        <c:scaling>
          <c:orientation val="minMax"/>
          <c:max val="3"/>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318572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7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'Rendibilitat financera'!$C$8</c:f>
              <c:strCache>
                <c:ptCount val="1"/>
                <c:pt idx="0">
                  <c:v>Zoetis</c:v>
                </c:pt>
              </c:strCache>
            </c:strRef>
          </c:tx>
          <c:spPr>
            <a:ln w="28575" cap="rnd">
              <a:solidFill>
                <a:schemeClr val="accent1"/>
              </a:solidFill>
              <a:round/>
            </a:ln>
            <a:effectLst/>
          </c:spPr>
          <c:marker>
            <c:symbol val="none"/>
          </c:marker>
          <c:cat>
            <c:numRef>
              <c:f>'Rendibilitat financera'!$D$7:$H$7</c:f>
              <c:numCache>
                <c:formatCode>General</c:formatCode>
                <c:ptCount val="5"/>
                <c:pt idx="0">
                  <c:v>2015</c:v>
                </c:pt>
                <c:pt idx="1">
                  <c:v>2016</c:v>
                </c:pt>
                <c:pt idx="2">
                  <c:v>2017</c:v>
                </c:pt>
                <c:pt idx="3">
                  <c:v>2018</c:v>
                </c:pt>
                <c:pt idx="4">
                  <c:v>2019</c:v>
                </c:pt>
              </c:numCache>
            </c:numRef>
          </c:cat>
          <c:val>
            <c:numRef>
              <c:f>'Rendibilitat financera'!$D$8:$H$8</c:f>
              <c:numCache>
                <c:formatCode>0.00%</c:formatCode>
                <c:ptCount val="5"/>
                <c:pt idx="0">
                  <c:v>0.31069999999999998</c:v>
                </c:pt>
                <c:pt idx="1">
                  <c:v>0.54769999999999996</c:v>
                </c:pt>
                <c:pt idx="2">
                  <c:v>0.48380000000000001</c:v>
                </c:pt>
                <c:pt idx="3">
                  <c:v>0.65349999999999997</c:v>
                </c:pt>
                <c:pt idx="4">
                  <c:v>0.55389999999999995</c:v>
                </c:pt>
              </c:numCache>
            </c:numRef>
          </c:val>
          <c:smooth val="0"/>
          <c:extLst>
            <c:ext xmlns:c16="http://schemas.microsoft.com/office/drawing/2014/chart" uri="{C3380CC4-5D6E-409C-BE32-E72D297353CC}">
              <c16:uniqueId val="{00000000-D25B-7447-B1A1-2247F5D7D73C}"/>
            </c:ext>
          </c:extLst>
        </c:ser>
        <c:ser>
          <c:idx val="1"/>
          <c:order val="1"/>
          <c:tx>
            <c:strRef>
              <c:f>'Rendibilitat financera'!$C$9</c:f>
              <c:strCache>
                <c:ptCount val="1"/>
                <c:pt idx="0">
                  <c:v>IDEXX</c:v>
                </c:pt>
              </c:strCache>
            </c:strRef>
          </c:tx>
          <c:spPr>
            <a:ln w="28575" cap="rnd">
              <a:solidFill>
                <a:schemeClr val="accent2"/>
              </a:solidFill>
              <a:round/>
            </a:ln>
            <a:effectLst/>
          </c:spPr>
          <c:marker>
            <c:symbol val="none"/>
          </c:marker>
          <c:cat>
            <c:numRef>
              <c:f>'Rendibilitat financera'!$D$7:$H$7</c:f>
              <c:numCache>
                <c:formatCode>General</c:formatCode>
                <c:ptCount val="5"/>
                <c:pt idx="0">
                  <c:v>2015</c:v>
                </c:pt>
                <c:pt idx="1">
                  <c:v>2016</c:v>
                </c:pt>
                <c:pt idx="2">
                  <c:v>2017</c:v>
                </c:pt>
                <c:pt idx="3">
                  <c:v>2018</c:v>
                </c:pt>
                <c:pt idx="4">
                  <c:v>2019</c:v>
                </c:pt>
              </c:numCache>
            </c:numRef>
          </c:cat>
          <c:val>
            <c:numRef>
              <c:f>'Rendibilitat financera'!$D$9:$H$9</c:f>
              <c:numCache>
                <c:formatCode>0.00%</c:formatCode>
                <c:ptCount val="5"/>
                <c:pt idx="0">
                  <c:v>-2.2856999999999998</c:v>
                </c:pt>
                <c:pt idx="1">
                  <c:v>-2.0556000000000001</c:v>
                </c:pt>
                <c:pt idx="2">
                  <c:v>-4.7817999999999996</c:v>
                </c:pt>
                <c:pt idx="3">
                  <c:v>-41.8889</c:v>
                </c:pt>
                <c:pt idx="4">
                  <c:v>2.3910999999999998</c:v>
                </c:pt>
              </c:numCache>
            </c:numRef>
          </c:val>
          <c:smooth val="0"/>
          <c:extLst>
            <c:ext xmlns:c16="http://schemas.microsoft.com/office/drawing/2014/chart" uri="{C3380CC4-5D6E-409C-BE32-E72D297353CC}">
              <c16:uniqueId val="{00000001-D25B-7447-B1A1-2247F5D7D73C}"/>
            </c:ext>
          </c:extLst>
        </c:ser>
        <c:ser>
          <c:idx val="2"/>
          <c:order val="2"/>
          <c:tx>
            <c:strRef>
              <c:f>'Rendibilitat financera'!$C$10</c:f>
              <c:strCache>
                <c:ptCount val="1"/>
                <c:pt idx="0">
                  <c:v>Virbac</c:v>
                </c:pt>
              </c:strCache>
            </c:strRef>
          </c:tx>
          <c:spPr>
            <a:ln w="28575" cap="rnd">
              <a:solidFill>
                <a:schemeClr val="accent3"/>
              </a:solidFill>
              <a:round/>
            </a:ln>
            <a:effectLst/>
          </c:spPr>
          <c:marker>
            <c:symbol val="none"/>
          </c:marker>
          <c:cat>
            <c:numRef>
              <c:f>'Rendibilitat financera'!$D$7:$H$7</c:f>
              <c:numCache>
                <c:formatCode>General</c:formatCode>
                <c:ptCount val="5"/>
                <c:pt idx="0">
                  <c:v>2015</c:v>
                </c:pt>
                <c:pt idx="1">
                  <c:v>2016</c:v>
                </c:pt>
                <c:pt idx="2">
                  <c:v>2017</c:v>
                </c:pt>
                <c:pt idx="3">
                  <c:v>2018</c:v>
                </c:pt>
                <c:pt idx="4">
                  <c:v>2019</c:v>
                </c:pt>
              </c:numCache>
            </c:numRef>
          </c:cat>
          <c:val>
            <c:numRef>
              <c:f>'Rendibilitat financera'!$D$10:$H$10</c:f>
              <c:numCache>
                <c:formatCode>0.00%</c:formatCode>
                <c:ptCount val="5"/>
                <c:pt idx="0">
                  <c:v>2.7E-2</c:v>
                </c:pt>
                <c:pt idx="1">
                  <c:v>6.7199999999999996E-2</c:v>
                </c:pt>
                <c:pt idx="2">
                  <c:v>6.0499999999999998E-2</c:v>
                </c:pt>
                <c:pt idx="3">
                  <c:v>6.25E-2</c:v>
                </c:pt>
                <c:pt idx="4">
                  <c:v>0.11409999999999999</c:v>
                </c:pt>
              </c:numCache>
            </c:numRef>
          </c:val>
          <c:smooth val="0"/>
          <c:extLst>
            <c:ext xmlns:c16="http://schemas.microsoft.com/office/drawing/2014/chart" uri="{C3380CC4-5D6E-409C-BE32-E72D297353CC}">
              <c16:uniqueId val="{00000002-D25B-7447-B1A1-2247F5D7D73C}"/>
            </c:ext>
          </c:extLst>
        </c:ser>
        <c:ser>
          <c:idx val="3"/>
          <c:order val="3"/>
          <c:tx>
            <c:strRef>
              <c:f>'Rendibilitat financera'!$C$11</c:f>
              <c:strCache>
                <c:ptCount val="1"/>
                <c:pt idx="0">
                  <c:v>Neogen</c:v>
                </c:pt>
              </c:strCache>
            </c:strRef>
          </c:tx>
          <c:spPr>
            <a:ln w="28575" cap="rnd">
              <a:solidFill>
                <a:schemeClr val="accent4"/>
              </a:solidFill>
              <a:round/>
            </a:ln>
            <a:effectLst/>
          </c:spPr>
          <c:marker>
            <c:symbol val="none"/>
          </c:marker>
          <c:cat>
            <c:numRef>
              <c:f>'Rendibilitat financera'!$D$7:$H$7</c:f>
              <c:numCache>
                <c:formatCode>General</c:formatCode>
                <c:ptCount val="5"/>
                <c:pt idx="0">
                  <c:v>2015</c:v>
                </c:pt>
                <c:pt idx="1">
                  <c:v>2016</c:v>
                </c:pt>
                <c:pt idx="2">
                  <c:v>2017</c:v>
                </c:pt>
                <c:pt idx="3">
                  <c:v>2018</c:v>
                </c:pt>
                <c:pt idx="4">
                  <c:v>2019</c:v>
                </c:pt>
              </c:numCache>
            </c:numRef>
          </c:cat>
          <c:val>
            <c:numRef>
              <c:f>'Rendibilitat financera'!$D$11:$H$11</c:f>
              <c:numCache>
                <c:formatCode>0.00%</c:formatCode>
                <c:ptCount val="5"/>
                <c:pt idx="0">
                  <c:v>9.69E-2</c:v>
                </c:pt>
                <c:pt idx="1">
                  <c:v>9.1600000000000001E-2</c:v>
                </c:pt>
                <c:pt idx="2">
                  <c:v>9.3200000000000005E-2</c:v>
                </c:pt>
                <c:pt idx="3">
                  <c:v>0.1125</c:v>
                </c:pt>
                <c:pt idx="4">
                  <c:v>9.4E-2</c:v>
                </c:pt>
              </c:numCache>
            </c:numRef>
          </c:val>
          <c:smooth val="0"/>
          <c:extLst>
            <c:ext xmlns:c16="http://schemas.microsoft.com/office/drawing/2014/chart" uri="{C3380CC4-5D6E-409C-BE32-E72D297353CC}">
              <c16:uniqueId val="{00000003-D25B-7447-B1A1-2247F5D7D73C}"/>
            </c:ext>
          </c:extLst>
        </c:ser>
        <c:ser>
          <c:idx val="4"/>
          <c:order val="4"/>
          <c:tx>
            <c:strRef>
              <c:f>'Rendibilitat financera'!$C$12</c:f>
              <c:strCache>
                <c:ptCount val="1"/>
                <c:pt idx="0">
                  <c:v>Phibro</c:v>
                </c:pt>
              </c:strCache>
            </c:strRef>
          </c:tx>
          <c:spPr>
            <a:ln w="28575" cap="rnd">
              <a:solidFill>
                <a:schemeClr val="accent5"/>
              </a:solidFill>
              <a:round/>
            </a:ln>
            <a:effectLst/>
          </c:spPr>
          <c:marker>
            <c:symbol val="none"/>
          </c:marker>
          <c:cat>
            <c:numRef>
              <c:f>'Rendibilitat financera'!$D$7:$H$7</c:f>
              <c:numCache>
                <c:formatCode>General</c:formatCode>
                <c:ptCount val="5"/>
                <c:pt idx="0">
                  <c:v>2015</c:v>
                </c:pt>
                <c:pt idx="1">
                  <c:v>2016</c:v>
                </c:pt>
                <c:pt idx="2">
                  <c:v>2017</c:v>
                </c:pt>
                <c:pt idx="3">
                  <c:v>2018</c:v>
                </c:pt>
                <c:pt idx="4">
                  <c:v>2019</c:v>
                </c:pt>
              </c:numCache>
            </c:numRef>
          </c:cat>
          <c:val>
            <c:numRef>
              <c:f>'Rendibilitat financera'!$D$12:$H$12</c:f>
              <c:numCache>
                <c:formatCode>0.00%</c:formatCode>
                <c:ptCount val="5"/>
                <c:pt idx="0">
                  <c:v>2</c:v>
                </c:pt>
                <c:pt idx="1">
                  <c:v>0.92220000000000002</c:v>
                </c:pt>
                <c:pt idx="2">
                  <c:v>0.43049999999999999</c:v>
                </c:pt>
                <c:pt idx="3">
                  <c:v>0.35139999999999999</c:v>
                </c:pt>
                <c:pt idx="4">
                  <c:v>0.25</c:v>
                </c:pt>
              </c:numCache>
            </c:numRef>
          </c:val>
          <c:smooth val="0"/>
          <c:extLst>
            <c:ext xmlns:c16="http://schemas.microsoft.com/office/drawing/2014/chart" uri="{C3380CC4-5D6E-409C-BE32-E72D297353CC}">
              <c16:uniqueId val="{00000004-D25B-7447-B1A1-2247F5D7D73C}"/>
            </c:ext>
          </c:extLst>
        </c:ser>
        <c:ser>
          <c:idx val="5"/>
          <c:order val="5"/>
          <c:tx>
            <c:strRef>
              <c:f>'Rendibilitat financera'!$C$13</c:f>
              <c:strCache>
                <c:ptCount val="1"/>
                <c:pt idx="0">
                  <c:v>Hipra</c:v>
                </c:pt>
              </c:strCache>
            </c:strRef>
          </c:tx>
          <c:spPr>
            <a:ln w="28575" cap="rnd">
              <a:solidFill>
                <a:schemeClr val="accent6"/>
              </a:solidFill>
              <a:round/>
            </a:ln>
            <a:effectLst/>
          </c:spPr>
          <c:marker>
            <c:symbol val="none"/>
          </c:marker>
          <c:cat>
            <c:numRef>
              <c:f>'Rendibilitat financera'!$D$7:$H$7</c:f>
              <c:numCache>
                <c:formatCode>General</c:formatCode>
                <c:ptCount val="5"/>
                <c:pt idx="0">
                  <c:v>2015</c:v>
                </c:pt>
                <c:pt idx="1">
                  <c:v>2016</c:v>
                </c:pt>
                <c:pt idx="2">
                  <c:v>2017</c:v>
                </c:pt>
                <c:pt idx="3">
                  <c:v>2018</c:v>
                </c:pt>
                <c:pt idx="4">
                  <c:v>2019</c:v>
                </c:pt>
              </c:numCache>
            </c:numRef>
          </c:cat>
          <c:val>
            <c:numRef>
              <c:f>'Rendibilitat financera'!$D$13:$H$13</c:f>
              <c:numCache>
                <c:formatCode>0.00%</c:formatCode>
                <c:ptCount val="5"/>
                <c:pt idx="0">
                  <c:v>0.2266</c:v>
                </c:pt>
                <c:pt idx="1">
                  <c:v>0.1799</c:v>
                </c:pt>
                <c:pt idx="2">
                  <c:v>0.1799</c:v>
                </c:pt>
                <c:pt idx="3">
                  <c:v>0.16520000000000001</c:v>
                </c:pt>
                <c:pt idx="4">
                  <c:v>0.1643</c:v>
                </c:pt>
              </c:numCache>
            </c:numRef>
          </c:val>
          <c:smooth val="0"/>
          <c:extLst>
            <c:ext xmlns:c16="http://schemas.microsoft.com/office/drawing/2014/chart" uri="{C3380CC4-5D6E-409C-BE32-E72D297353CC}">
              <c16:uniqueId val="{00000005-D25B-7447-B1A1-2247F5D7D73C}"/>
            </c:ext>
          </c:extLst>
        </c:ser>
        <c:ser>
          <c:idx val="6"/>
          <c:order val="6"/>
          <c:tx>
            <c:strRef>
              <c:f>'Rendibilitat financera'!$C$14</c:f>
              <c:strCache>
                <c:ptCount val="1"/>
                <c:pt idx="0">
                  <c:v>Mitjana sectorial (*)</c:v>
                </c:pt>
              </c:strCache>
            </c:strRef>
          </c:tx>
          <c:spPr>
            <a:ln w="28575" cap="rnd">
              <a:solidFill>
                <a:schemeClr val="accent1">
                  <a:lumMod val="60000"/>
                </a:schemeClr>
              </a:solidFill>
              <a:round/>
            </a:ln>
            <a:effectLst/>
          </c:spPr>
          <c:marker>
            <c:symbol val="none"/>
          </c:marker>
          <c:cat>
            <c:numRef>
              <c:f>'Rendibilitat financera'!$D$7:$H$7</c:f>
              <c:numCache>
                <c:formatCode>General</c:formatCode>
                <c:ptCount val="5"/>
                <c:pt idx="0">
                  <c:v>2015</c:v>
                </c:pt>
                <c:pt idx="1">
                  <c:v>2016</c:v>
                </c:pt>
                <c:pt idx="2">
                  <c:v>2017</c:v>
                </c:pt>
                <c:pt idx="3">
                  <c:v>2018</c:v>
                </c:pt>
                <c:pt idx="4">
                  <c:v>2019</c:v>
                </c:pt>
              </c:numCache>
            </c:numRef>
          </c:cat>
          <c:val>
            <c:numRef>
              <c:f>'Rendibilitat financera'!$D$14:$H$14</c:f>
              <c:numCache>
                <c:formatCode>0.00%</c:formatCode>
                <c:ptCount val="5"/>
                <c:pt idx="0">
                  <c:v>0.53224000000000005</c:v>
                </c:pt>
                <c:pt idx="1">
                  <c:v>0.36171999999999993</c:v>
                </c:pt>
                <c:pt idx="2">
                  <c:v>0.24958</c:v>
                </c:pt>
                <c:pt idx="3">
                  <c:v>0.26901999999999904</c:v>
                </c:pt>
                <c:pt idx="4">
                  <c:v>0.23525999999999997</c:v>
                </c:pt>
              </c:numCache>
            </c:numRef>
          </c:val>
          <c:smooth val="0"/>
          <c:extLst>
            <c:ext xmlns:c16="http://schemas.microsoft.com/office/drawing/2014/chart" uri="{C3380CC4-5D6E-409C-BE32-E72D297353CC}">
              <c16:uniqueId val="{00000006-D25B-7447-B1A1-2247F5D7D73C}"/>
            </c:ext>
          </c:extLst>
        </c:ser>
        <c:dLbls>
          <c:showLegendKey val="0"/>
          <c:showVal val="0"/>
          <c:showCatName val="0"/>
          <c:showSerName val="0"/>
          <c:showPercent val="0"/>
          <c:showBubbleSize val="0"/>
        </c:dLbls>
        <c:smooth val="0"/>
        <c:axId val="1285605664"/>
        <c:axId val="1309728528"/>
      </c:lineChart>
      <c:catAx>
        <c:axId val="128560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309728528"/>
        <c:crossesAt val="-7"/>
        <c:auto val="1"/>
        <c:lblAlgn val="ctr"/>
        <c:lblOffset val="100"/>
        <c:noMultiLvlLbl val="0"/>
      </c:catAx>
      <c:valAx>
        <c:axId val="1309728528"/>
        <c:scaling>
          <c:orientation val="minMax"/>
          <c:max val="2.7"/>
          <c:min val="-0.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12856056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'PiG % ver. % hor'!$B$60</c:f>
              <c:strCache>
                <c:ptCount val="1"/>
                <c:pt idx="0">
                  <c:v>Import net de la xifra de negocis</c:v>
                </c:pt>
              </c:strCache>
            </c:strRef>
          </c:tx>
          <c:spPr>
            <a:ln w="28575" cap="rnd">
              <a:solidFill>
                <a:schemeClr val="accent1"/>
              </a:solidFill>
              <a:round/>
            </a:ln>
            <a:effectLst/>
          </c:spPr>
          <c:marker>
            <c:symbol val="none"/>
          </c:marker>
          <c:cat>
            <c:numRef>
              <c:f>'PiG % ver. % hor'!$D$59:$J$59</c:f>
              <c:numCache>
                <c:formatCode>General</c:formatCode>
                <c:ptCount val="4"/>
                <c:pt idx="0">
                  <c:v>2016</c:v>
                </c:pt>
                <c:pt idx="1">
                  <c:v>2017</c:v>
                </c:pt>
                <c:pt idx="2">
                  <c:v>2018</c:v>
                </c:pt>
                <c:pt idx="3">
                  <c:v>2019</c:v>
                </c:pt>
              </c:numCache>
            </c:numRef>
          </c:cat>
          <c:val>
            <c:numRef>
              <c:f>'PiG % ver. % hor'!$C$60:$J$60</c:f>
              <c:numCache>
                <c:formatCode>0.00%</c:formatCode>
                <c:ptCount val="4"/>
                <c:pt idx="0">
                  <c:v>0.11400812877908141</c:v>
                </c:pt>
                <c:pt idx="1">
                  <c:v>0.20501239277861411</c:v>
                </c:pt>
                <c:pt idx="2">
                  <c:v>0.26260768137281132</c:v>
                </c:pt>
                <c:pt idx="3">
                  <c:v>0.34194958168433781</c:v>
                </c:pt>
              </c:numCache>
            </c:numRef>
          </c:val>
          <c:smooth val="0"/>
          <c:extLst>
            <c:ext xmlns:c16="http://schemas.microsoft.com/office/drawing/2014/chart" uri="{C3380CC4-5D6E-409C-BE32-E72D297353CC}">
              <c16:uniqueId val="{00000000-94C9-8245-955F-FBDF2B4C67B5}"/>
            </c:ext>
          </c:extLst>
        </c:ser>
        <c:ser>
          <c:idx val="1"/>
          <c:order val="1"/>
          <c:tx>
            <c:strRef>
              <c:f>'PiG % ver. % hor'!$B$61</c:f>
              <c:strCache>
                <c:ptCount val="1"/>
                <c:pt idx="0">
                  <c:v>Aprovisionaments</c:v>
                </c:pt>
              </c:strCache>
            </c:strRef>
          </c:tx>
          <c:spPr>
            <a:ln w="28575" cap="rnd">
              <a:solidFill>
                <a:schemeClr val="accent2"/>
              </a:solidFill>
              <a:round/>
            </a:ln>
            <a:effectLst/>
          </c:spPr>
          <c:marker>
            <c:symbol val="none"/>
          </c:marker>
          <c:cat>
            <c:numRef>
              <c:f>'PiG % ver. % hor'!$D$59:$J$59</c:f>
              <c:numCache>
                <c:formatCode>General</c:formatCode>
                <c:ptCount val="4"/>
                <c:pt idx="0">
                  <c:v>2016</c:v>
                </c:pt>
                <c:pt idx="1">
                  <c:v>2017</c:v>
                </c:pt>
                <c:pt idx="2">
                  <c:v>2018</c:v>
                </c:pt>
                <c:pt idx="3">
                  <c:v>2019</c:v>
                </c:pt>
              </c:numCache>
            </c:numRef>
          </c:cat>
          <c:val>
            <c:numRef>
              <c:f>'PiG % ver. % hor'!$C$61:$J$61</c:f>
              <c:numCache>
                <c:formatCode>0.00%</c:formatCode>
                <c:ptCount val="4"/>
                <c:pt idx="0">
                  <c:v>0.10967073848927071</c:v>
                </c:pt>
                <c:pt idx="1">
                  <c:v>3.3399999999999999E-2</c:v>
                </c:pt>
                <c:pt idx="2">
                  <c:v>0.13550000000000001</c:v>
                </c:pt>
                <c:pt idx="3">
                  <c:v>0.1996</c:v>
                </c:pt>
              </c:numCache>
            </c:numRef>
          </c:val>
          <c:smooth val="0"/>
          <c:extLst>
            <c:ext xmlns:c16="http://schemas.microsoft.com/office/drawing/2014/chart" uri="{C3380CC4-5D6E-409C-BE32-E72D297353CC}">
              <c16:uniqueId val="{00000001-94C9-8245-955F-FBDF2B4C67B5}"/>
            </c:ext>
          </c:extLst>
        </c:ser>
        <c:ser>
          <c:idx val="2"/>
          <c:order val="2"/>
          <c:tx>
            <c:strRef>
              <c:f>'PiG % ver. % hor'!$B$62</c:f>
              <c:strCache>
                <c:ptCount val="1"/>
                <c:pt idx="0">
                  <c:v>Despeses de personal</c:v>
                </c:pt>
              </c:strCache>
            </c:strRef>
          </c:tx>
          <c:spPr>
            <a:ln w="28575" cap="rnd">
              <a:solidFill>
                <a:schemeClr val="accent3"/>
              </a:solidFill>
              <a:round/>
            </a:ln>
            <a:effectLst/>
          </c:spPr>
          <c:marker>
            <c:symbol val="none"/>
          </c:marker>
          <c:cat>
            <c:numRef>
              <c:f>'PiG % ver. % hor'!$D$59:$J$59</c:f>
              <c:numCache>
                <c:formatCode>General</c:formatCode>
                <c:ptCount val="4"/>
                <c:pt idx="0">
                  <c:v>2016</c:v>
                </c:pt>
                <c:pt idx="1">
                  <c:v>2017</c:v>
                </c:pt>
                <c:pt idx="2">
                  <c:v>2018</c:v>
                </c:pt>
                <c:pt idx="3">
                  <c:v>2019</c:v>
                </c:pt>
              </c:numCache>
            </c:numRef>
          </c:cat>
          <c:val>
            <c:numRef>
              <c:f>'PiG % ver. % hor'!$C$62:$J$62</c:f>
              <c:numCache>
                <c:formatCode>0.00%</c:formatCode>
                <c:ptCount val="4"/>
                <c:pt idx="0">
                  <c:v>0.18449203502479164</c:v>
                </c:pt>
                <c:pt idx="1">
                  <c:v>0.34520000000000001</c:v>
                </c:pt>
                <c:pt idx="2">
                  <c:v>0.4763</c:v>
                </c:pt>
                <c:pt idx="3">
                  <c:v>0.60329999999999995</c:v>
                </c:pt>
              </c:numCache>
            </c:numRef>
          </c:val>
          <c:smooth val="0"/>
          <c:extLst>
            <c:ext xmlns:c16="http://schemas.microsoft.com/office/drawing/2014/chart" uri="{C3380CC4-5D6E-409C-BE32-E72D297353CC}">
              <c16:uniqueId val="{00000002-94C9-8245-955F-FBDF2B4C67B5}"/>
            </c:ext>
          </c:extLst>
        </c:ser>
        <c:ser>
          <c:idx val="3"/>
          <c:order val="3"/>
          <c:tx>
            <c:strRef>
              <c:f>'PiG % ver. % hor'!$B$63</c:f>
              <c:strCache>
                <c:ptCount val="1"/>
                <c:pt idx="0">
                  <c:v>Altres despeses d'explotació</c:v>
                </c:pt>
              </c:strCache>
            </c:strRef>
          </c:tx>
          <c:spPr>
            <a:ln w="28575" cap="rnd">
              <a:solidFill>
                <a:schemeClr val="accent4"/>
              </a:solidFill>
              <a:round/>
            </a:ln>
            <a:effectLst/>
          </c:spPr>
          <c:marker>
            <c:symbol val="none"/>
          </c:marker>
          <c:cat>
            <c:numRef>
              <c:f>'PiG % ver. % hor'!$D$59:$J$59</c:f>
              <c:numCache>
                <c:formatCode>General</c:formatCode>
                <c:ptCount val="4"/>
                <c:pt idx="0">
                  <c:v>2016</c:v>
                </c:pt>
                <c:pt idx="1">
                  <c:v>2017</c:v>
                </c:pt>
                <c:pt idx="2">
                  <c:v>2018</c:v>
                </c:pt>
                <c:pt idx="3">
                  <c:v>2019</c:v>
                </c:pt>
              </c:numCache>
            </c:numRef>
          </c:cat>
          <c:val>
            <c:numRef>
              <c:f>'PiG % ver. % hor'!$C$63:$J$63</c:f>
              <c:numCache>
                <c:formatCode>0.00%</c:formatCode>
                <c:ptCount val="4"/>
                <c:pt idx="0">
                  <c:v>0.16106770600539932</c:v>
                </c:pt>
                <c:pt idx="1">
                  <c:v>0.24970000000000001</c:v>
                </c:pt>
                <c:pt idx="2">
                  <c:v>0.26950000000000002</c:v>
                </c:pt>
                <c:pt idx="3">
                  <c:v>0.28920000000000001</c:v>
                </c:pt>
              </c:numCache>
            </c:numRef>
          </c:val>
          <c:smooth val="0"/>
          <c:extLst>
            <c:ext xmlns:c16="http://schemas.microsoft.com/office/drawing/2014/chart" uri="{C3380CC4-5D6E-409C-BE32-E72D297353CC}">
              <c16:uniqueId val="{00000003-94C9-8245-955F-FBDF2B4C67B5}"/>
            </c:ext>
          </c:extLst>
        </c:ser>
        <c:ser>
          <c:idx val="4"/>
          <c:order val="4"/>
          <c:tx>
            <c:strRef>
              <c:f>'PiG % ver. % hor'!$B$64</c:f>
              <c:strCache>
                <c:ptCount val="1"/>
                <c:pt idx="0">
                  <c:v>Amortització de l'immobilitzat</c:v>
                </c:pt>
              </c:strCache>
            </c:strRef>
          </c:tx>
          <c:spPr>
            <a:ln w="28575" cap="rnd">
              <a:solidFill>
                <a:schemeClr val="accent5"/>
              </a:solidFill>
              <a:round/>
            </a:ln>
            <a:effectLst/>
          </c:spPr>
          <c:marker>
            <c:symbol val="none"/>
          </c:marker>
          <c:cat>
            <c:numRef>
              <c:f>'PiG % ver. % hor'!$D$59:$J$59</c:f>
              <c:numCache>
                <c:formatCode>General</c:formatCode>
                <c:ptCount val="4"/>
                <c:pt idx="0">
                  <c:v>2016</c:v>
                </c:pt>
                <c:pt idx="1">
                  <c:v>2017</c:v>
                </c:pt>
                <c:pt idx="2">
                  <c:v>2018</c:v>
                </c:pt>
                <c:pt idx="3">
                  <c:v>2019</c:v>
                </c:pt>
              </c:numCache>
            </c:numRef>
          </c:cat>
          <c:val>
            <c:numRef>
              <c:f>'PiG % ver. % hor'!$C$64:$J$64</c:f>
              <c:numCache>
                <c:formatCode>0.00%</c:formatCode>
                <c:ptCount val="4"/>
                <c:pt idx="0">
                  <c:v>3.6008001778172927E-2</c:v>
                </c:pt>
                <c:pt idx="1">
                  <c:v>0.3851</c:v>
                </c:pt>
                <c:pt idx="2">
                  <c:v>0.49</c:v>
                </c:pt>
                <c:pt idx="3">
                  <c:v>0.68059999999999998</c:v>
                </c:pt>
              </c:numCache>
            </c:numRef>
          </c:val>
          <c:smooth val="0"/>
          <c:extLst>
            <c:ext xmlns:c16="http://schemas.microsoft.com/office/drawing/2014/chart" uri="{C3380CC4-5D6E-409C-BE32-E72D297353CC}">
              <c16:uniqueId val="{00000004-94C9-8245-955F-FBDF2B4C67B5}"/>
            </c:ext>
          </c:extLst>
        </c:ser>
        <c:dLbls>
          <c:showLegendKey val="0"/>
          <c:showVal val="0"/>
          <c:showCatName val="0"/>
          <c:showSerName val="0"/>
          <c:showPercent val="0"/>
          <c:showBubbleSize val="0"/>
        </c:dLbls>
        <c:smooth val="0"/>
        <c:axId val="481875840"/>
        <c:axId val="380190144"/>
      </c:lineChart>
      <c:catAx>
        <c:axId val="48187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380190144"/>
        <c:crosses val="autoZero"/>
        <c:auto val="1"/>
        <c:lblAlgn val="ctr"/>
        <c:lblOffset val="100"/>
        <c:noMultiLvlLbl val="0"/>
      </c:catAx>
      <c:valAx>
        <c:axId val="3801901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481875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r>
              <a:rPr lang="es-ES_tradnl" sz="800" b="0">
                <a:latin typeface="Arial" panose="020B0604020202020204" pitchFamily="34" charset="0"/>
                <a:cs typeface="Arial" panose="020B0604020202020204" pitchFamily="34" charset="0"/>
              </a:rPr>
              <a:t>distribució d'ingressos del sector farmacèutic en salut animal respecte el total (2019)</a:t>
            </a:r>
          </a:p>
        </c:rich>
      </c:tx>
      <c:overlay val="0"/>
      <c:spPr>
        <a:noFill/>
        <a:ln>
          <a:noFill/>
        </a:ln>
        <a:effectLst/>
      </c:spPr>
      <c:txPr>
        <a:bodyPr rot="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endParaRPr lang="es-ES"/>
        </a:p>
      </c:txPr>
    </c:title>
    <c:autoTitleDeleted val="0"/>
    <c:plotArea>
      <c:layout/>
      <c:pieChart>
        <c:varyColors val="1"/>
        <c:ser>
          <c:idx val="0"/>
          <c:order val="0"/>
          <c:tx>
            <c:strRef>
              <c:f>'gràfic 3.1'!$A$3</c:f>
              <c:strCache>
                <c:ptCount val="1"/>
                <c:pt idx="0">
                  <c:v>Distribució d'ingressos del sector farmacèutic en salut animal respecte el total (2019)</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1A1-ED48-848B-0051333EF8DA}"/>
              </c:ext>
            </c:extLst>
          </c:dPt>
          <c:dPt>
            <c:idx val="1"/>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1A1-ED48-848B-0051333EF8D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'gràfic 3.1'!$B$6:$B$7</c:f>
              <c:strCache>
                <c:ptCount val="2"/>
                <c:pt idx="0">
                  <c:v>Ingressos sector animal</c:v>
                </c:pt>
                <c:pt idx="1">
                  <c:v>Altres segments farmacèutics</c:v>
                </c:pt>
              </c:strCache>
            </c:strRef>
          </c:cat>
          <c:val>
            <c:numRef>
              <c:f>'gràfic 3.1'!$C$6:$C$7</c:f>
              <c:numCache>
                <c:formatCode>General</c:formatCode>
                <c:ptCount val="2"/>
                <c:pt idx="0">
                  <c:v>33.799999999999997</c:v>
                </c:pt>
                <c:pt idx="1">
                  <c:v>1216.5999999999999</c:v>
                </c:pt>
              </c:numCache>
            </c:numRef>
          </c:val>
          <c:extLst>
            <c:ext xmlns:c16="http://schemas.microsoft.com/office/drawing/2014/chart" uri="{C3380CC4-5D6E-409C-BE32-E72D297353CC}">
              <c16:uniqueId val="{00000004-C1A1-ED48-848B-0051333EF8D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tr"/>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r>
              <a:rPr lang="en-US"/>
              <a:t>Zoetis</a:t>
            </a:r>
          </a:p>
        </c:rich>
      </c:tx>
      <c:overlay val="0"/>
      <c:spPr>
        <a:noFill/>
        <a:ln>
          <a:noFill/>
        </a:ln>
        <a:effectLst/>
      </c:spPr>
      <c:txPr>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endParaRPr lang="es-ES"/>
        </a:p>
      </c:txPr>
    </c:title>
    <c:autoTitleDeleted val="0"/>
    <c:plotArea>
      <c:layout/>
      <c:barChart>
        <c:barDir val="col"/>
        <c:grouping val="percentStacked"/>
        <c:varyColors val="0"/>
        <c:ser>
          <c:idx val="1"/>
          <c:order val="0"/>
          <c:tx>
            <c:strRef>
              <c:f>Zoetis!$I$6</c:f>
              <c:strCache>
                <c:ptCount val="1"/>
                <c:pt idx="0">
                  <c:v>Actius corrents</c:v>
                </c:pt>
              </c:strCache>
            </c:strRef>
          </c:tx>
          <c:spPr>
            <a:solidFill>
              <a:schemeClr val="accent2"/>
            </a:solidFill>
            <a:ln>
              <a:noFill/>
            </a:ln>
            <a:effectLst/>
          </c:spPr>
          <c:invertIfNegative val="0"/>
          <c:cat>
            <c:numRef>
              <c:f>Zoetis!$K$4:$S$4</c:f>
              <c:numCache>
                <c:formatCode>General</c:formatCode>
                <c:ptCount val="5"/>
                <c:pt idx="0">
                  <c:v>2019</c:v>
                </c:pt>
                <c:pt idx="1">
                  <c:v>2018</c:v>
                </c:pt>
                <c:pt idx="2">
                  <c:v>2017</c:v>
                </c:pt>
                <c:pt idx="3">
                  <c:v>2016</c:v>
                </c:pt>
                <c:pt idx="4">
                  <c:v>2015</c:v>
                </c:pt>
              </c:numCache>
            </c:numRef>
          </c:cat>
          <c:val>
            <c:numRef>
              <c:f>Zoetis!$K$6:$S$6</c:f>
              <c:numCache>
                <c:formatCode>0.00%</c:formatCode>
                <c:ptCount val="5"/>
                <c:pt idx="0">
                  <c:v>0.4112602858380251</c:v>
                </c:pt>
                <c:pt idx="1">
                  <c:v>0.40818409575948778</c:v>
                </c:pt>
                <c:pt idx="2">
                  <c:v>0.49114838108548803</c:v>
                </c:pt>
                <c:pt idx="3">
                  <c:v>0.44319518891358345</c:v>
                </c:pt>
                <c:pt idx="4">
                  <c:v>0.48401364842663969</c:v>
                </c:pt>
              </c:numCache>
            </c:numRef>
          </c:val>
          <c:extLst>
            <c:ext xmlns:c16="http://schemas.microsoft.com/office/drawing/2014/chart" uri="{C3380CC4-5D6E-409C-BE32-E72D297353CC}">
              <c16:uniqueId val="{00000000-28A5-8F43-8CD9-E2176165AAFE}"/>
            </c:ext>
          </c:extLst>
        </c:ser>
        <c:ser>
          <c:idx val="0"/>
          <c:order val="1"/>
          <c:tx>
            <c:strRef>
              <c:f>Zoetis!$I$5</c:f>
              <c:strCache>
                <c:ptCount val="1"/>
                <c:pt idx="0">
                  <c:v>Actius no corrents</c:v>
                </c:pt>
              </c:strCache>
            </c:strRef>
          </c:tx>
          <c:spPr>
            <a:solidFill>
              <a:schemeClr val="accent1"/>
            </a:solidFill>
            <a:ln>
              <a:noFill/>
            </a:ln>
            <a:effectLst/>
          </c:spPr>
          <c:invertIfNegative val="0"/>
          <c:cat>
            <c:numRef>
              <c:f>Zoetis!$K$4:$S$4</c:f>
              <c:numCache>
                <c:formatCode>General</c:formatCode>
                <c:ptCount val="5"/>
                <c:pt idx="0">
                  <c:v>2019</c:v>
                </c:pt>
                <c:pt idx="1">
                  <c:v>2018</c:v>
                </c:pt>
                <c:pt idx="2">
                  <c:v>2017</c:v>
                </c:pt>
                <c:pt idx="3">
                  <c:v>2016</c:v>
                </c:pt>
                <c:pt idx="4">
                  <c:v>2015</c:v>
                </c:pt>
              </c:numCache>
            </c:numRef>
          </c:cat>
          <c:val>
            <c:numRef>
              <c:f>Zoetis!$K$5:$S$5</c:f>
              <c:numCache>
                <c:formatCode>0.00%</c:formatCode>
                <c:ptCount val="5"/>
                <c:pt idx="0">
                  <c:v>0.5887397141619749</c:v>
                </c:pt>
                <c:pt idx="1">
                  <c:v>0.59181590424051222</c:v>
                </c:pt>
                <c:pt idx="2">
                  <c:v>0.50885161891451203</c:v>
                </c:pt>
                <c:pt idx="3">
                  <c:v>0.55680481108641655</c:v>
                </c:pt>
                <c:pt idx="4">
                  <c:v>0.51598635157336026</c:v>
                </c:pt>
              </c:numCache>
            </c:numRef>
          </c:val>
          <c:extLst>
            <c:ext xmlns:c16="http://schemas.microsoft.com/office/drawing/2014/chart" uri="{C3380CC4-5D6E-409C-BE32-E72D297353CC}">
              <c16:uniqueId val="{00000001-28A5-8F43-8CD9-E2176165AAFE}"/>
            </c:ext>
          </c:extLst>
        </c:ser>
        <c:dLbls>
          <c:showLegendKey val="0"/>
          <c:showVal val="0"/>
          <c:showCatName val="0"/>
          <c:showSerName val="0"/>
          <c:showPercent val="0"/>
          <c:showBubbleSize val="0"/>
        </c:dLbls>
        <c:gapWidth val="150"/>
        <c:overlap val="100"/>
        <c:axId val="381193720"/>
        <c:axId val="381198032"/>
      </c:barChart>
      <c:catAx>
        <c:axId val="381193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381198032"/>
        <c:crosses val="autoZero"/>
        <c:auto val="1"/>
        <c:lblAlgn val="ctr"/>
        <c:lblOffset val="100"/>
        <c:noMultiLvlLbl val="0"/>
      </c:catAx>
      <c:valAx>
        <c:axId val="381198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381193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8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r>
              <a:rPr lang="es-ES"/>
              <a:t>Idexx</a:t>
            </a:r>
          </a:p>
        </c:rich>
      </c:tx>
      <c:overlay val="0"/>
      <c:spPr>
        <a:noFill/>
        <a:ln>
          <a:noFill/>
        </a:ln>
        <a:effectLst/>
      </c:spPr>
      <c:txPr>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endParaRPr lang="es-ES"/>
        </a:p>
      </c:txPr>
    </c:title>
    <c:autoTitleDeleted val="0"/>
    <c:plotArea>
      <c:layout/>
      <c:barChart>
        <c:barDir val="col"/>
        <c:grouping val="percentStacked"/>
        <c:varyColors val="0"/>
        <c:ser>
          <c:idx val="1"/>
          <c:order val="0"/>
          <c:tx>
            <c:strRef>
              <c:f>IDEXX!$I$6</c:f>
              <c:strCache>
                <c:ptCount val="1"/>
                <c:pt idx="0">
                  <c:v>Actius corrents</c:v>
                </c:pt>
              </c:strCache>
            </c:strRef>
          </c:tx>
          <c:spPr>
            <a:solidFill>
              <a:schemeClr val="accent2"/>
            </a:solidFill>
            <a:ln>
              <a:noFill/>
            </a:ln>
            <a:effectLst/>
          </c:spPr>
          <c:invertIfNegative val="0"/>
          <c:cat>
            <c:numRef>
              <c:f>IDEXX!$K$4:$S$4</c:f>
              <c:numCache>
                <c:formatCode>General</c:formatCode>
                <c:ptCount val="5"/>
                <c:pt idx="0">
                  <c:v>2019</c:v>
                </c:pt>
                <c:pt idx="1">
                  <c:v>2018</c:v>
                </c:pt>
                <c:pt idx="2">
                  <c:v>2017</c:v>
                </c:pt>
                <c:pt idx="3">
                  <c:v>2016</c:v>
                </c:pt>
                <c:pt idx="4">
                  <c:v>2015</c:v>
                </c:pt>
              </c:numCache>
            </c:numRef>
          </c:cat>
          <c:val>
            <c:numRef>
              <c:f>IDEXX!$K$6:$S$6</c:f>
              <c:numCache>
                <c:formatCode>0.00%</c:formatCode>
                <c:ptCount val="5"/>
                <c:pt idx="0">
                  <c:v>0.37097654118930717</c:v>
                </c:pt>
                <c:pt idx="1">
                  <c:v>0.42550422901756668</c:v>
                </c:pt>
                <c:pt idx="2">
                  <c:v>0.56742556917688269</c:v>
                </c:pt>
                <c:pt idx="3">
                  <c:v>0.55258001306335724</c:v>
                </c:pt>
                <c:pt idx="4">
                  <c:v>0.55728813559322032</c:v>
                </c:pt>
              </c:numCache>
            </c:numRef>
          </c:val>
          <c:extLst>
            <c:ext xmlns:c16="http://schemas.microsoft.com/office/drawing/2014/chart" uri="{C3380CC4-5D6E-409C-BE32-E72D297353CC}">
              <c16:uniqueId val="{00000000-36F1-AA40-A46B-315728ABF2C2}"/>
            </c:ext>
          </c:extLst>
        </c:ser>
        <c:ser>
          <c:idx val="0"/>
          <c:order val="1"/>
          <c:tx>
            <c:strRef>
              <c:f>IDEXX!$I$5</c:f>
              <c:strCache>
                <c:ptCount val="1"/>
                <c:pt idx="0">
                  <c:v>Actius no corrents</c:v>
                </c:pt>
              </c:strCache>
            </c:strRef>
          </c:tx>
          <c:spPr>
            <a:solidFill>
              <a:schemeClr val="accent1"/>
            </a:solidFill>
            <a:ln>
              <a:noFill/>
            </a:ln>
            <a:effectLst/>
          </c:spPr>
          <c:invertIfNegative val="0"/>
          <c:cat>
            <c:numRef>
              <c:f>IDEXX!$K$4:$S$4</c:f>
              <c:numCache>
                <c:formatCode>General</c:formatCode>
                <c:ptCount val="5"/>
                <c:pt idx="0">
                  <c:v>2019</c:v>
                </c:pt>
                <c:pt idx="1">
                  <c:v>2018</c:v>
                </c:pt>
                <c:pt idx="2">
                  <c:v>2017</c:v>
                </c:pt>
                <c:pt idx="3">
                  <c:v>2016</c:v>
                </c:pt>
                <c:pt idx="4">
                  <c:v>2015</c:v>
                </c:pt>
              </c:numCache>
            </c:numRef>
          </c:cat>
          <c:val>
            <c:numRef>
              <c:f>IDEXX!$K$5:$S$5</c:f>
              <c:numCache>
                <c:formatCode>0.00%</c:formatCode>
                <c:ptCount val="5"/>
                <c:pt idx="0">
                  <c:v>0.62902345881069288</c:v>
                </c:pt>
                <c:pt idx="1">
                  <c:v>0.57449577098243332</c:v>
                </c:pt>
                <c:pt idx="2">
                  <c:v>0.43257443082311736</c:v>
                </c:pt>
                <c:pt idx="3">
                  <c:v>0.4474199869366427</c:v>
                </c:pt>
                <c:pt idx="4">
                  <c:v>0.44271186440677968</c:v>
                </c:pt>
              </c:numCache>
            </c:numRef>
          </c:val>
          <c:extLst>
            <c:ext xmlns:c16="http://schemas.microsoft.com/office/drawing/2014/chart" uri="{C3380CC4-5D6E-409C-BE32-E72D297353CC}">
              <c16:uniqueId val="{00000001-36F1-AA40-A46B-315728ABF2C2}"/>
            </c:ext>
          </c:extLst>
        </c:ser>
        <c:dLbls>
          <c:showLegendKey val="0"/>
          <c:showVal val="0"/>
          <c:showCatName val="0"/>
          <c:showSerName val="0"/>
          <c:showPercent val="0"/>
          <c:showBubbleSize val="0"/>
        </c:dLbls>
        <c:gapWidth val="150"/>
        <c:overlap val="100"/>
        <c:axId val="382173552"/>
        <c:axId val="382171592"/>
      </c:barChart>
      <c:catAx>
        <c:axId val="38217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382171592"/>
        <c:crosses val="autoZero"/>
        <c:auto val="1"/>
        <c:lblAlgn val="ctr"/>
        <c:lblOffset val="100"/>
        <c:noMultiLvlLbl val="0"/>
      </c:catAx>
      <c:valAx>
        <c:axId val="382171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382173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8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r>
              <a:rPr lang="es-ES"/>
              <a:t>Virbac</a:t>
            </a:r>
          </a:p>
        </c:rich>
      </c:tx>
      <c:overlay val="0"/>
      <c:spPr>
        <a:noFill/>
        <a:ln>
          <a:noFill/>
        </a:ln>
        <a:effectLst/>
      </c:spPr>
      <c:txPr>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endParaRPr lang="es-ES"/>
        </a:p>
      </c:txPr>
    </c:title>
    <c:autoTitleDeleted val="0"/>
    <c:plotArea>
      <c:layout/>
      <c:barChart>
        <c:barDir val="col"/>
        <c:grouping val="percentStacked"/>
        <c:varyColors val="0"/>
        <c:ser>
          <c:idx val="1"/>
          <c:order val="0"/>
          <c:tx>
            <c:strRef>
              <c:f>Virbac!$I$6</c:f>
              <c:strCache>
                <c:ptCount val="1"/>
                <c:pt idx="0">
                  <c:v>Actius corrents</c:v>
                </c:pt>
              </c:strCache>
            </c:strRef>
          </c:tx>
          <c:spPr>
            <a:solidFill>
              <a:schemeClr val="accent2"/>
            </a:solidFill>
            <a:ln>
              <a:noFill/>
            </a:ln>
            <a:effectLst/>
          </c:spPr>
          <c:invertIfNegative val="0"/>
          <c:cat>
            <c:numRef>
              <c:f>Virbac!$K$4:$S$4</c:f>
              <c:numCache>
                <c:formatCode>General</c:formatCode>
                <c:ptCount val="5"/>
                <c:pt idx="0">
                  <c:v>2019</c:v>
                </c:pt>
                <c:pt idx="1">
                  <c:v>2018</c:v>
                </c:pt>
                <c:pt idx="2">
                  <c:v>2017</c:v>
                </c:pt>
                <c:pt idx="3">
                  <c:v>2016</c:v>
                </c:pt>
                <c:pt idx="4">
                  <c:v>2015</c:v>
                </c:pt>
              </c:numCache>
            </c:numRef>
          </c:cat>
          <c:val>
            <c:numRef>
              <c:f>Virbac!$K$6:$S$6</c:f>
              <c:numCache>
                <c:formatCode>0.00%</c:formatCode>
                <c:ptCount val="5"/>
                <c:pt idx="0">
                  <c:v>0.34089191232048377</c:v>
                </c:pt>
                <c:pt idx="1">
                  <c:v>0.32050274941084056</c:v>
                </c:pt>
                <c:pt idx="2">
                  <c:v>0.31377151799687009</c:v>
                </c:pt>
                <c:pt idx="3">
                  <c:v>0.306064880112835</c:v>
                </c:pt>
                <c:pt idx="4">
                  <c:v>0.33962264150943394</c:v>
                </c:pt>
              </c:numCache>
            </c:numRef>
          </c:val>
          <c:extLst>
            <c:ext xmlns:c16="http://schemas.microsoft.com/office/drawing/2014/chart" uri="{C3380CC4-5D6E-409C-BE32-E72D297353CC}">
              <c16:uniqueId val="{00000000-97D6-234F-9E63-56CE130C8E39}"/>
            </c:ext>
          </c:extLst>
        </c:ser>
        <c:ser>
          <c:idx val="0"/>
          <c:order val="1"/>
          <c:tx>
            <c:strRef>
              <c:f>Virbac!$I$5</c:f>
              <c:strCache>
                <c:ptCount val="1"/>
                <c:pt idx="0">
                  <c:v>Actius no corrents</c:v>
                </c:pt>
              </c:strCache>
            </c:strRef>
          </c:tx>
          <c:spPr>
            <a:solidFill>
              <a:schemeClr val="accent1"/>
            </a:solidFill>
            <a:ln>
              <a:noFill/>
            </a:ln>
            <a:effectLst/>
          </c:spPr>
          <c:invertIfNegative val="0"/>
          <c:cat>
            <c:numRef>
              <c:f>Virbac!$K$4:$S$4</c:f>
              <c:numCache>
                <c:formatCode>General</c:formatCode>
                <c:ptCount val="5"/>
                <c:pt idx="0">
                  <c:v>2019</c:v>
                </c:pt>
                <c:pt idx="1">
                  <c:v>2018</c:v>
                </c:pt>
                <c:pt idx="2">
                  <c:v>2017</c:v>
                </c:pt>
                <c:pt idx="3">
                  <c:v>2016</c:v>
                </c:pt>
                <c:pt idx="4">
                  <c:v>2015</c:v>
                </c:pt>
              </c:numCache>
            </c:numRef>
          </c:cat>
          <c:val>
            <c:numRef>
              <c:f>Virbac!$K$5:$S$5</c:f>
              <c:numCache>
                <c:formatCode>0.00%</c:formatCode>
                <c:ptCount val="5"/>
                <c:pt idx="0">
                  <c:v>0.65910808767951623</c:v>
                </c:pt>
                <c:pt idx="1">
                  <c:v>0.67949725058915944</c:v>
                </c:pt>
                <c:pt idx="2">
                  <c:v>0.68622848200312991</c:v>
                </c:pt>
                <c:pt idx="3">
                  <c:v>0.69393511988716505</c:v>
                </c:pt>
                <c:pt idx="4">
                  <c:v>0.660377358490566</c:v>
                </c:pt>
              </c:numCache>
            </c:numRef>
          </c:val>
          <c:extLst>
            <c:ext xmlns:c16="http://schemas.microsoft.com/office/drawing/2014/chart" uri="{C3380CC4-5D6E-409C-BE32-E72D297353CC}">
              <c16:uniqueId val="{00000001-97D6-234F-9E63-56CE130C8E39}"/>
            </c:ext>
          </c:extLst>
        </c:ser>
        <c:dLbls>
          <c:showLegendKey val="0"/>
          <c:showVal val="0"/>
          <c:showCatName val="0"/>
          <c:showSerName val="0"/>
          <c:showPercent val="0"/>
          <c:showBubbleSize val="0"/>
        </c:dLbls>
        <c:gapWidth val="150"/>
        <c:overlap val="100"/>
        <c:axId val="509703120"/>
        <c:axId val="509700768"/>
      </c:barChart>
      <c:catAx>
        <c:axId val="50970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509700768"/>
        <c:crosses val="autoZero"/>
        <c:auto val="1"/>
        <c:lblAlgn val="ctr"/>
        <c:lblOffset val="100"/>
        <c:noMultiLvlLbl val="0"/>
      </c:catAx>
      <c:valAx>
        <c:axId val="509700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50970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8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r>
              <a:rPr lang="es-ES_tradnl"/>
              <a:t>Neogen</a:t>
            </a:r>
          </a:p>
        </c:rich>
      </c:tx>
      <c:overlay val="0"/>
      <c:spPr>
        <a:noFill/>
        <a:ln>
          <a:noFill/>
        </a:ln>
        <a:effectLst/>
      </c:spPr>
      <c:txPr>
        <a:bodyPr rot="0" spcFirstLastPara="1" vertOverflow="ellipsis" vert="horz" wrap="square" anchor="ctr" anchorCtr="1"/>
        <a:lstStyle/>
        <a:p>
          <a:pPr>
            <a:defRPr sz="960" b="0" i="0" u="none" strike="noStrike" kern="1200" spc="0" baseline="0">
              <a:solidFill>
                <a:srgbClr val="002060"/>
              </a:solidFill>
              <a:latin typeface="Arial" panose="020B0604020202020204" pitchFamily="34" charset="0"/>
              <a:ea typeface="+mn-ea"/>
              <a:cs typeface="Arial" panose="020B0604020202020204" pitchFamily="34" charset="0"/>
            </a:defRPr>
          </a:pPr>
          <a:endParaRPr lang="es-ES"/>
        </a:p>
      </c:txPr>
    </c:title>
    <c:autoTitleDeleted val="0"/>
    <c:plotArea>
      <c:layout/>
      <c:barChart>
        <c:barDir val="col"/>
        <c:grouping val="percentStacked"/>
        <c:varyColors val="0"/>
        <c:ser>
          <c:idx val="1"/>
          <c:order val="0"/>
          <c:tx>
            <c:strRef>
              <c:f>Neogen!$I$6</c:f>
              <c:strCache>
                <c:ptCount val="1"/>
                <c:pt idx="0">
                  <c:v>Actius corrents</c:v>
                </c:pt>
              </c:strCache>
            </c:strRef>
          </c:tx>
          <c:spPr>
            <a:solidFill>
              <a:schemeClr val="accent2"/>
            </a:solidFill>
            <a:ln>
              <a:noFill/>
            </a:ln>
            <a:effectLst/>
          </c:spPr>
          <c:invertIfNegative val="0"/>
          <c:cat>
            <c:numRef>
              <c:f>Neogen!$K$4:$S$4</c:f>
              <c:numCache>
                <c:formatCode>General</c:formatCode>
                <c:ptCount val="5"/>
                <c:pt idx="0">
                  <c:v>2019</c:v>
                </c:pt>
                <c:pt idx="1">
                  <c:v>2018</c:v>
                </c:pt>
                <c:pt idx="2">
                  <c:v>2017</c:v>
                </c:pt>
                <c:pt idx="3">
                  <c:v>2016</c:v>
                </c:pt>
                <c:pt idx="4">
                  <c:v>2015</c:v>
                </c:pt>
              </c:numCache>
            </c:numRef>
          </c:cat>
          <c:val>
            <c:numRef>
              <c:f>Neogen!$K$6:$S$6</c:f>
              <c:numCache>
                <c:formatCode>0.00%</c:formatCode>
                <c:ptCount val="5"/>
                <c:pt idx="0">
                  <c:v>0.64655172413793105</c:v>
                </c:pt>
                <c:pt idx="1">
                  <c:v>0.60841423948220064</c:v>
                </c:pt>
                <c:pt idx="2">
                  <c:v>0.55492424242424243</c:v>
                </c:pt>
                <c:pt idx="3">
                  <c:v>0.55111111111111111</c:v>
                </c:pt>
                <c:pt idx="4">
                  <c:v>0.5892857142857143</c:v>
                </c:pt>
              </c:numCache>
            </c:numRef>
          </c:val>
          <c:extLst>
            <c:ext xmlns:c16="http://schemas.microsoft.com/office/drawing/2014/chart" uri="{C3380CC4-5D6E-409C-BE32-E72D297353CC}">
              <c16:uniqueId val="{00000000-296B-BF42-BC4F-253FC610FDE3}"/>
            </c:ext>
          </c:extLst>
        </c:ser>
        <c:ser>
          <c:idx val="0"/>
          <c:order val="1"/>
          <c:tx>
            <c:strRef>
              <c:f>Neogen!$I$5</c:f>
              <c:strCache>
                <c:ptCount val="1"/>
                <c:pt idx="0">
                  <c:v>Actius no corrents</c:v>
                </c:pt>
              </c:strCache>
            </c:strRef>
          </c:tx>
          <c:spPr>
            <a:solidFill>
              <a:schemeClr val="accent1"/>
            </a:solidFill>
            <a:ln>
              <a:noFill/>
            </a:ln>
            <a:effectLst/>
          </c:spPr>
          <c:invertIfNegative val="0"/>
          <c:cat>
            <c:numRef>
              <c:f>Neogen!$K$4:$S$4</c:f>
              <c:numCache>
                <c:formatCode>General</c:formatCode>
                <c:ptCount val="5"/>
                <c:pt idx="0">
                  <c:v>2019</c:v>
                </c:pt>
                <c:pt idx="1">
                  <c:v>2018</c:v>
                </c:pt>
                <c:pt idx="2">
                  <c:v>2017</c:v>
                </c:pt>
                <c:pt idx="3">
                  <c:v>2016</c:v>
                </c:pt>
                <c:pt idx="4">
                  <c:v>2015</c:v>
                </c:pt>
              </c:numCache>
            </c:numRef>
          </c:cat>
          <c:val>
            <c:numRef>
              <c:f>Neogen!$K$5:$S$5</c:f>
              <c:numCache>
                <c:formatCode>0.00%</c:formatCode>
                <c:ptCount val="5"/>
                <c:pt idx="0">
                  <c:v>0.35344827586206895</c:v>
                </c:pt>
                <c:pt idx="1">
                  <c:v>0.39158576051779936</c:v>
                </c:pt>
                <c:pt idx="2">
                  <c:v>0.44507575757575757</c:v>
                </c:pt>
                <c:pt idx="3">
                  <c:v>0.44888888888888889</c:v>
                </c:pt>
                <c:pt idx="4">
                  <c:v>0.4107142857142857</c:v>
                </c:pt>
              </c:numCache>
            </c:numRef>
          </c:val>
          <c:extLst>
            <c:ext xmlns:c16="http://schemas.microsoft.com/office/drawing/2014/chart" uri="{C3380CC4-5D6E-409C-BE32-E72D297353CC}">
              <c16:uniqueId val="{00000001-296B-BF42-BC4F-253FC610FDE3}"/>
            </c:ext>
          </c:extLst>
        </c:ser>
        <c:dLbls>
          <c:showLegendKey val="0"/>
          <c:showVal val="0"/>
          <c:showCatName val="0"/>
          <c:showSerName val="0"/>
          <c:showPercent val="0"/>
          <c:showBubbleSize val="0"/>
        </c:dLbls>
        <c:gapWidth val="150"/>
        <c:overlap val="100"/>
        <c:axId val="515196624"/>
        <c:axId val="512802120"/>
      </c:barChart>
      <c:catAx>
        <c:axId val="51519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512802120"/>
        <c:crosses val="autoZero"/>
        <c:auto val="1"/>
        <c:lblAlgn val="ctr"/>
        <c:lblOffset val="100"/>
        <c:noMultiLvlLbl val="0"/>
      </c:catAx>
      <c:valAx>
        <c:axId val="512802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crossAx val="515196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800">
          <a:solidFill>
            <a:srgbClr val="002060"/>
          </a:solidFill>
          <a:latin typeface="Arial" panose="020B0604020202020204" pitchFamily="34" charset="0"/>
          <a:cs typeface="Arial" panose="020B0604020202020204" pitchFamily="34" charset="0"/>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2FE0F7-EC0C-3A45-976B-381F83270159}" type="doc">
      <dgm:prSet loTypeId="urn:microsoft.com/office/officeart/2005/8/layout/radial6" loCatId="" qsTypeId="urn:microsoft.com/office/officeart/2005/8/quickstyle/3d3" qsCatId="3D" csTypeId="urn:microsoft.com/office/officeart/2005/8/colors/accent1_2" csCatId="accent1" phldr="1"/>
      <dgm:spPr/>
      <dgm:t>
        <a:bodyPr/>
        <a:lstStyle/>
        <a:p>
          <a:endParaRPr lang="es-ES"/>
        </a:p>
      </dgm:t>
    </dgm:pt>
    <dgm:pt modelId="{7EE9C1FC-4BD4-C64B-97B7-C9F06CC6356E}">
      <dgm:prSet phldrT="[Texto]" custT="1"/>
      <dgm:spPr>
        <a:solidFill>
          <a:srgbClr val="FF0000"/>
        </a:solidFill>
        <a:ln w="34925">
          <a:noFill/>
        </a:ln>
        <a:effectLst>
          <a:softEdge rad="241300"/>
        </a:effectLst>
      </dgm:spPr>
      <dgm:t>
        <a:bodyPr/>
        <a:lstStyle/>
        <a:p>
          <a:pPr algn="ctr"/>
          <a:r>
            <a:rPr lang="es-ES" sz="1200">
              <a:solidFill>
                <a:schemeClr val="bg1"/>
              </a:solidFill>
              <a:latin typeface="Bradley Hand" pitchFamily="2" charset="77"/>
              <a:cs typeface="Arial" panose="020B0604020202020204" pitchFamily="34" charset="0"/>
            </a:rPr>
            <a:t>ÈXIT</a:t>
          </a:r>
        </a:p>
      </dgm:t>
    </dgm:pt>
    <dgm:pt modelId="{9885D4EE-B572-3D4A-A089-5FFD96DBF231}" type="parTrans" cxnId="{F956A68B-B8C1-8F44-82C0-8948F65C47D7}">
      <dgm:prSet/>
      <dgm:spPr/>
      <dgm:t>
        <a:bodyPr/>
        <a:lstStyle/>
        <a:p>
          <a:pPr algn="ctr"/>
          <a:endParaRPr lang="es-ES" sz="600"/>
        </a:p>
      </dgm:t>
    </dgm:pt>
    <dgm:pt modelId="{FFA2FEA5-381C-1A48-8B12-0D5247C64B5B}" type="sibTrans" cxnId="{F956A68B-B8C1-8F44-82C0-8948F65C47D7}">
      <dgm:prSet/>
      <dgm:spPr/>
      <dgm:t>
        <a:bodyPr/>
        <a:lstStyle/>
        <a:p>
          <a:pPr algn="ctr"/>
          <a:endParaRPr lang="es-ES" sz="600"/>
        </a:p>
      </dgm:t>
    </dgm:pt>
    <dgm:pt modelId="{F59408C1-9F22-7342-BB6E-85512A465CC1}">
      <dgm:prSet phldrT="[Texto]" custT="1"/>
      <dgm:spPr>
        <a:solidFill>
          <a:schemeClr val="accent5">
            <a:lumMod val="40000"/>
            <a:lumOff val="60000"/>
          </a:schemeClr>
        </a:solidFill>
      </dgm:spPr>
      <dgm:t>
        <a:bodyPr/>
        <a:lstStyle/>
        <a:p>
          <a:pPr algn="ctr"/>
          <a:r>
            <a:rPr lang="es-ES" sz="600">
              <a:solidFill>
                <a:srgbClr val="002060"/>
              </a:solidFill>
              <a:latin typeface="Arial" panose="020B0604020202020204" pitchFamily="34" charset="0"/>
              <a:cs typeface="Arial" panose="020B0604020202020204" pitchFamily="34" charset="0"/>
            </a:rPr>
            <a:t>INTERNACIONALITZACIÓ</a:t>
          </a:r>
        </a:p>
      </dgm:t>
    </dgm:pt>
    <dgm:pt modelId="{7952D140-F37C-8646-902C-D00AB3F35F08}" type="parTrans" cxnId="{D3AEC929-3B52-B94E-8205-08D2BB437D7B}">
      <dgm:prSet/>
      <dgm:spPr/>
      <dgm:t>
        <a:bodyPr/>
        <a:lstStyle/>
        <a:p>
          <a:pPr algn="ctr"/>
          <a:endParaRPr lang="es-ES" sz="600"/>
        </a:p>
      </dgm:t>
    </dgm:pt>
    <dgm:pt modelId="{741BFF36-9B53-EA45-A18C-15B1EC575B6A}" type="sibTrans" cxnId="{D3AEC929-3B52-B94E-8205-08D2BB437D7B}">
      <dgm:prSet/>
      <dgm:spPr/>
      <dgm:t>
        <a:bodyPr/>
        <a:lstStyle/>
        <a:p>
          <a:pPr algn="ctr"/>
          <a:endParaRPr lang="es-ES" sz="600"/>
        </a:p>
      </dgm:t>
    </dgm:pt>
    <dgm:pt modelId="{619286C0-9F2E-1F48-A9C4-3B4DF88D36C7}">
      <dgm:prSet phldrT="[Texto]" custT="1"/>
      <dgm:spPr>
        <a:solidFill>
          <a:schemeClr val="accent2">
            <a:lumMod val="40000"/>
            <a:lumOff val="60000"/>
          </a:schemeClr>
        </a:solidFill>
      </dgm:spPr>
      <dgm:t>
        <a:bodyPr/>
        <a:lstStyle/>
        <a:p>
          <a:pPr algn="ctr"/>
          <a:r>
            <a:rPr lang="es-ES" sz="600">
              <a:solidFill>
                <a:srgbClr val="002060"/>
              </a:solidFill>
              <a:latin typeface="Arial" panose="020B0604020202020204" pitchFamily="34" charset="0"/>
              <a:cs typeface="Arial" panose="020B0604020202020204" pitchFamily="34" charset="0"/>
            </a:rPr>
            <a:t>ESPECIALITZACIÓ</a:t>
          </a:r>
        </a:p>
      </dgm:t>
    </dgm:pt>
    <dgm:pt modelId="{28E434A4-F4E9-7F4F-8C6F-F23D23A8079E}" type="parTrans" cxnId="{6A11B927-3637-6049-9296-F1550C2A93B6}">
      <dgm:prSet/>
      <dgm:spPr/>
      <dgm:t>
        <a:bodyPr/>
        <a:lstStyle/>
        <a:p>
          <a:pPr algn="ctr"/>
          <a:endParaRPr lang="es-ES" sz="600"/>
        </a:p>
      </dgm:t>
    </dgm:pt>
    <dgm:pt modelId="{BB4CC3E0-408A-0F43-B0CE-09AA575DBD28}" type="sibTrans" cxnId="{6A11B927-3637-6049-9296-F1550C2A93B6}">
      <dgm:prSet/>
      <dgm:spPr/>
      <dgm:t>
        <a:bodyPr/>
        <a:lstStyle/>
        <a:p>
          <a:pPr algn="ctr"/>
          <a:endParaRPr lang="es-ES" sz="600"/>
        </a:p>
      </dgm:t>
    </dgm:pt>
    <dgm:pt modelId="{6E42C55B-673C-BC48-B6B8-5B1C67540FCF}">
      <dgm:prSet phldrT="[Texto]" custT="1"/>
      <dgm:spPr>
        <a:solidFill>
          <a:schemeClr val="accent6">
            <a:lumMod val="40000"/>
            <a:lumOff val="60000"/>
          </a:schemeClr>
        </a:solidFill>
      </dgm:spPr>
      <dgm:t>
        <a:bodyPr/>
        <a:lstStyle/>
        <a:p>
          <a:pPr algn="ctr"/>
          <a:r>
            <a:rPr lang="es-ES" sz="600">
              <a:solidFill>
                <a:srgbClr val="002060"/>
              </a:solidFill>
              <a:latin typeface="Arial" panose="020B0604020202020204" pitchFamily="34" charset="0"/>
              <a:cs typeface="Arial" panose="020B0604020202020204" pitchFamily="34" charset="0"/>
            </a:rPr>
            <a:t>ESTABILITAT FINANCERA</a:t>
          </a:r>
        </a:p>
      </dgm:t>
    </dgm:pt>
    <dgm:pt modelId="{A09D92A3-AD55-1346-BD9B-FEA33D6286EA}" type="parTrans" cxnId="{A18D4467-A600-A841-B264-F2EA8A551899}">
      <dgm:prSet/>
      <dgm:spPr/>
      <dgm:t>
        <a:bodyPr/>
        <a:lstStyle/>
        <a:p>
          <a:pPr algn="ctr"/>
          <a:endParaRPr lang="es-ES" sz="600"/>
        </a:p>
      </dgm:t>
    </dgm:pt>
    <dgm:pt modelId="{50F888C2-D313-1848-9E2F-1F5A145F0C85}" type="sibTrans" cxnId="{A18D4467-A600-A841-B264-F2EA8A551899}">
      <dgm:prSet/>
      <dgm:spPr/>
      <dgm:t>
        <a:bodyPr/>
        <a:lstStyle/>
        <a:p>
          <a:pPr algn="ctr"/>
          <a:endParaRPr lang="es-ES" sz="600"/>
        </a:p>
      </dgm:t>
    </dgm:pt>
    <dgm:pt modelId="{7F4FB6B4-B0F6-3E44-AF9A-0FD817ACBA25}">
      <dgm:prSet phldrT="[Texto]" custT="1"/>
      <dgm:spPr>
        <a:solidFill>
          <a:schemeClr val="accent4">
            <a:lumMod val="40000"/>
            <a:lumOff val="60000"/>
          </a:schemeClr>
        </a:solidFill>
      </dgm:spPr>
      <dgm:t>
        <a:bodyPr/>
        <a:lstStyle/>
        <a:p>
          <a:pPr algn="ctr"/>
          <a:r>
            <a:rPr lang="es-ES" sz="600">
              <a:solidFill>
                <a:srgbClr val="002060"/>
              </a:solidFill>
              <a:latin typeface="Arial" panose="020B0604020202020204" pitchFamily="34" charset="0"/>
              <a:cs typeface="Arial" panose="020B0604020202020204" pitchFamily="34" charset="0"/>
            </a:rPr>
            <a:t>RENDIBILITAT</a:t>
          </a:r>
        </a:p>
      </dgm:t>
    </dgm:pt>
    <dgm:pt modelId="{D9041FE1-12DF-E84E-AA85-B4F8E4B7CCCA}" type="parTrans" cxnId="{D7A86E2B-316C-4148-96BC-F8F53A99B0F2}">
      <dgm:prSet/>
      <dgm:spPr/>
      <dgm:t>
        <a:bodyPr/>
        <a:lstStyle/>
        <a:p>
          <a:pPr algn="ctr"/>
          <a:endParaRPr lang="es-ES" sz="600"/>
        </a:p>
      </dgm:t>
    </dgm:pt>
    <dgm:pt modelId="{CF3007D9-5F37-0342-91F2-96179838AE41}" type="sibTrans" cxnId="{D7A86E2B-316C-4148-96BC-F8F53A99B0F2}">
      <dgm:prSet/>
      <dgm:spPr/>
      <dgm:t>
        <a:bodyPr/>
        <a:lstStyle/>
        <a:p>
          <a:pPr algn="ctr"/>
          <a:endParaRPr lang="es-ES" sz="600"/>
        </a:p>
      </dgm:t>
    </dgm:pt>
    <dgm:pt modelId="{73670AFC-F3A0-2146-B0B2-6F18173EF74A}">
      <dgm:prSet custT="1"/>
      <dgm:spPr>
        <a:solidFill>
          <a:srgbClr val="FFFF00"/>
        </a:solidFill>
      </dgm:spPr>
      <dgm:t>
        <a:bodyPr/>
        <a:lstStyle/>
        <a:p>
          <a:pPr algn="ctr"/>
          <a:r>
            <a:rPr lang="es-ES" sz="600">
              <a:solidFill>
                <a:srgbClr val="002060"/>
              </a:solidFill>
              <a:latin typeface="Arial" panose="020B0604020202020204" pitchFamily="34" charset="0"/>
              <a:cs typeface="Arial" panose="020B0604020202020204" pitchFamily="34" charset="0"/>
            </a:rPr>
            <a:t>R+D</a:t>
          </a:r>
        </a:p>
      </dgm:t>
    </dgm:pt>
    <dgm:pt modelId="{EC730F4F-DAC3-FF4C-B052-65F3CCD06277}" type="parTrans" cxnId="{6100C839-E561-C641-A664-6A5238DF1C7D}">
      <dgm:prSet/>
      <dgm:spPr/>
      <dgm:t>
        <a:bodyPr/>
        <a:lstStyle/>
        <a:p>
          <a:pPr algn="ctr"/>
          <a:endParaRPr lang="es-ES" sz="600"/>
        </a:p>
      </dgm:t>
    </dgm:pt>
    <dgm:pt modelId="{22641B18-F9BA-0048-9E92-34F2F327C135}" type="sibTrans" cxnId="{6100C839-E561-C641-A664-6A5238DF1C7D}">
      <dgm:prSet/>
      <dgm:spPr/>
      <dgm:t>
        <a:bodyPr/>
        <a:lstStyle/>
        <a:p>
          <a:pPr algn="ctr"/>
          <a:endParaRPr lang="es-ES" sz="600"/>
        </a:p>
      </dgm:t>
    </dgm:pt>
    <dgm:pt modelId="{DDD74D1A-B9D4-CE44-A880-E091541EC49A}" type="pres">
      <dgm:prSet presAssocID="{312FE0F7-EC0C-3A45-976B-381F83270159}" presName="Name0" presStyleCnt="0">
        <dgm:presLayoutVars>
          <dgm:chMax val="1"/>
          <dgm:dir/>
          <dgm:animLvl val="ctr"/>
          <dgm:resizeHandles val="exact"/>
        </dgm:presLayoutVars>
      </dgm:prSet>
      <dgm:spPr/>
    </dgm:pt>
    <dgm:pt modelId="{1818A74A-B7CC-B14C-A683-47BD78873856}" type="pres">
      <dgm:prSet presAssocID="{7EE9C1FC-4BD4-C64B-97B7-C9F06CC6356E}" presName="centerShape" presStyleLbl="node0" presStyleIdx="0" presStyleCnt="1"/>
      <dgm:spPr/>
    </dgm:pt>
    <dgm:pt modelId="{2049AEBD-18C8-EF48-84D6-C3D3E37C1616}" type="pres">
      <dgm:prSet presAssocID="{F59408C1-9F22-7342-BB6E-85512A465CC1}" presName="node" presStyleLbl="node1" presStyleIdx="0" presStyleCnt="5" custScaleX="315656" custScaleY="95352">
        <dgm:presLayoutVars>
          <dgm:bulletEnabled val="1"/>
        </dgm:presLayoutVars>
      </dgm:prSet>
      <dgm:spPr/>
    </dgm:pt>
    <dgm:pt modelId="{EF3B5C62-AC2B-794A-9487-DC7E7435632B}" type="pres">
      <dgm:prSet presAssocID="{F59408C1-9F22-7342-BB6E-85512A465CC1}" presName="dummy" presStyleCnt="0"/>
      <dgm:spPr/>
    </dgm:pt>
    <dgm:pt modelId="{C323C030-C367-824A-8B78-9E6E6636787E}" type="pres">
      <dgm:prSet presAssocID="{741BFF36-9B53-EA45-A18C-15B1EC575B6A}" presName="sibTrans" presStyleLbl="sibTrans2D1" presStyleIdx="0" presStyleCnt="5" custLinFactNeighborX="6654" custLinFactNeighborY="-2033"/>
      <dgm:spPr/>
    </dgm:pt>
    <dgm:pt modelId="{36262CED-578B-DB47-B2F1-61A3D5CBB6F9}" type="pres">
      <dgm:prSet presAssocID="{619286C0-9F2E-1F48-A9C4-3B4DF88D36C7}" presName="node" presStyleLbl="node1" presStyleIdx="1" presStyleCnt="5" custScaleX="227124" custRadScaleRad="140199" custRadScaleInc="21944">
        <dgm:presLayoutVars>
          <dgm:bulletEnabled val="1"/>
        </dgm:presLayoutVars>
      </dgm:prSet>
      <dgm:spPr/>
    </dgm:pt>
    <dgm:pt modelId="{513D2598-C36C-4940-AC60-56BB1BD5206B}" type="pres">
      <dgm:prSet presAssocID="{619286C0-9F2E-1F48-A9C4-3B4DF88D36C7}" presName="dummy" presStyleCnt="0"/>
      <dgm:spPr/>
    </dgm:pt>
    <dgm:pt modelId="{A8A27156-04E7-B140-A350-D27DDE7EFAA1}" type="pres">
      <dgm:prSet presAssocID="{BB4CC3E0-408A-0F43-B0CE-09AA575DBD28}" presName="sibTrans" presStyleLbl="sibTrans2D1" presStyleIdx="1" presStyleCnt="5" custScaleX="116856" custScaleY="105912" custLinFactNeighborX="-4621" custLinFactNeighborY="-739"/>
      <dgm:spPr/>
    </dgm:pt>
    <dgm:pt modelId="{0A7024F1-1AEB-DC41-9A5B-9A5CE015C550}" type="pres">
      <dgm:prSet presAssocID="{6E42C55B-673C-BC48-B6B8-5B1C67540FCF}" presName="node" presStyleLbl="node1" presStyleIdx="2" presStyleCnt="5" custScaleX="181963" custRadScaleRad="111361" custRadScaleInc="-41256">
        <dgm:presLayoutVars>
          <dgm:bulletEnabled val="1"/>
        </dgm:presLayoutVars>
      </dgm:prSet>
      <dgm:spPr/>
    </dgm:pt>
    <dgm:pt modelId="{39A0A89C-9D2E-AC49-9E8D-8B5FB2EC2600}" type="pres">
      <dgm:prSet presAssocID="{6E42C55B-673C-BC48-B6B8-5B1C67540FCF}" presName="dummy" presStyleCnt="0"/>
      <dgm:spPr/>
    </dgm:pt>
    <dgm:pt modelId="{80C19280-70A7-8C4B-A87F-90CD8B71EEA7}" type="pres">
      <dgm:prSet presAssocID="{50F888C2-D313-1848-9E2F-1F5A145F0C85}" presName="sibTrans" presStyleLbl="sibTrans2D1" presStyleIdx="2" presStyleCnt="5"/>
      <dgm:spPr/>
    </dgm:pt>
    <dgm:pt modelId="{A4D176F3-9866-9649-957D-4FC0069C9D3D}" type="pres">
      <dgm:prSet presAssocID="{7F4FB6B4-B0F6-3E44-AF9A-0FD817ACBA25}" presName="node" presStyleLbl="node1" presStyleIdx="3" presStyleCnt="5" custScaleX="179567" custRadScaleRad="112075" custRadScaleInc="51501">
        <dgm:presLayoutVars>
          <dgm:bulletEnabled val="1"/>
        </dgm:presLayoutVars>
      </dgm:prSet>
      <dgm:spPr/>
    </dgm:pt>
    <dgm:pt modelId="{D635F5DF-0123-9F4D-BB20-27F82AB0DC08}" type="pres">
      <dgm:prSet presAssocID="{7F4FB6B4-B0F6-3E44-AF9A-0FD817ACBA25}" presName="dummy" presStyleCnt="0"/>
      <dgm:spPr/>
    </dgm:pt>
    <dgm:pt modelId="{88099574-1430-9648-B0E8-8C584F1326A8}" type="pres">
      <dgm:prSet presAssocID="{CF3007D9-5F37-0342-91F2-96179838AE41}" presName="sibTrans" presStyleLbl="sibTrans2D1" presStyleIdx="3" presStyleCnt="5"/>
      <dgm:spPr/>
    </dgm:pt>
    <dgm:pt modelId="{EA565543-6267-E14E-8A6A-1A7D31CCC83D}" type="pres">
      <dgm:prSet presAssocID="{73670AFC-F3A0-2146-B0B2-6F18173EF74A}" presName="node" presStyleLbl="node1" presStyleIdx="4" presStyleCnt="5" custScaleX="138922" custRadScaleRad="117877" custRadScaleInc="-10881">
        <dgm:presLayoutVars>
          <dgm:bulletEnabled val="1"/>
        </dgm:presLayoutVars>
      </dgm:prSet>
      <dgm:spPr/>
    </dgm:pt>
    <dgm:pt modelId="{CB7BD4F0-1303-534C-9F68-4964E90C8625}" type="pres">
      <dgm:prSet presAssocID="{73670AFC-F3A0-2146-B0B2-6F18173EF74A}" presName="dummy" presStyleCnt="0"/>
      <dgm:spPr/>
    </dgm:pt>
    <dgm:pt modelId="{A5F841A9-D0AF-5B49-BE36-CC446F9CBD8E}" type="pres">
      <dgm:prSet presAssocID="{22641B18-F9BA-0048-9E92-34F2F327C135}" presName="sibTrans" presStyleLbl="sibTrans2D1" presStyleIdx="4" presStyleCnt="5"/>
      <dgm:spPr/>
    </dgm:pt>
  </dgm:ptLst>
  <dgm:cxnLst>
    <dgm:cxn modelId="{82153D07-5988-CB44-9EB4-9D71A84DA125}" type="presOf" srcId="{7F4FB6B4-B0F6-3E44-AF9A-0FD817ACBA25}" destId="{A4D176F3-9866-9649-957D-4FC0069C9D3D}" srcOrd="0" destOrd="0" presId="urn:microsoft.com/office/officeart/2005/8/layout/radial6"/>
    <dgm:cxn modelId="{677F0623-D106-8248-A1E1-ADAA84F65176}" type="presOf" srcId="{BB4CC3E0-408A-0F43-B0CE-09AA575DBD28}" destId="{A8A27156-04E7-B140-A350-D27DDE7EFAA1}" srcOrd="0" destOrd="0" presId="urn:microsoft.com/office/officeart/2005/8/layout/radial6"/>
    <dgm:cxn modelId="{68F88B25-8205-004D-8CE8-853A3D3CEBD3}" type="presOf" srcId="{741BFF36-9B53-EA45-A18C-15B1EC575B6A}" destId="{C323C030-C367-824A-8B78-9E6E6636787E}" srcOrd="0" destOrd="0" presId="urn:microsoft.com/office/officeart/2005/8/layout/radial6"/>
    <dgm:cxn modelId="{6A11B927-3637-6049-9296-F1550C2A93B6}" srcId="{7EE9C1FC-4BD4-C64B-97B7-C9F06CC6356E}" destId="{619286C0-9F2E-1F48-A9C4-3B4DF88D36C7}" srcOrd="1" destOrd="0" parTransId="{28E434A4-F4E9-7F4F-8C6F-F23D23A8079E}" sibTransId="{BB4CC3E0-408A-0F43-B0CE-09AA575DBD28}"/>
    <dgm:cxn modelId="{D3AEC929-3B52-B94E-8205-08D2BB437D7B}" srcId="{7EE9C1FC-4BD4-C64B-97B7-C9F06CC6356E}" destId="{F59408C1-9F22-7342-BB6E-85512A465CC1}" srcOrd="0" destOrd="0" parTransId="{7952D140-F37C-8646-902C-D00AB3F35F08}" sibTransId="{741BFF36-9B53-EA45-A18C-15B1EC575B6A}"/>
    <dgm:cxn modelId="{D7A86E2B-316C-4148-96BC-F8F53A99B0F2}" srcId="{7EE9C1FC-4BD4-C64B-97B7-C9F06CC6356E}" destId="{7F4FB6B4-B0F6-3E44-AF9A-0FD817ACBA25}" srcOrd="3" destOrd="0" parTransId="{D9041FE1-12DF-E84E-AA85-B4F8E4B7CCCA}" sibTransId="{CF3007D9-5F37-0342-91F2-96179838AE41}"/>
    <dgm:cxn modelId="{5116BE2D-1F45-9C4F-856C-424400A52192}" type="presOf" srcId="{312FE0F7-EC0C-3A45-976B-381F83270159}" destId="{DDD74D1A-B9D4-CE44-A880-E091541EC49A}" srcOrd="0" destOrd="0" presId="urn:microsoft.com/office/officeart/2005/8/layout/radial6"/>
    <dgm:cxn modelId="{A1518E39-F75C-7743-8BE0-0CD99EECBB6F}" type="presOf" srcId="{F59408C1-9F22-7342-BB6E-85512A465CC1}" destId="{2049AEBD-18C8-EF48-84D6-C3D3E37C1616}" srcOrd="0" destOrd="0" presId="urn:microsoft.com/office/officeart/2005/8/layout/radial6"/>
    <dgm:cxn modelId="{6100C839-E561-C641-A664-6A5238DF1C7D}" srcId="{7EE9C1FC-4BD4-C64B-97B7-C9F06CC6356E}" destId="{73670AFC-F3A0-2146-B0B2-6F18173EF74A}" srcOrd="4" destOrd="0" parTransId="{EC730F4F-DAC3-FF4C-B052-65F3CCD06277}" sibTransId="{22641B18-F9BA-0048-9E92-34F2F327C135}"/>
    <dgm:cxn modelId="{CE15C065-4068-D84D-A693-DCD09D2C0417}" type="presOf" srcId="{73670AFC-F3A0-2146-B0B2-6F18173EF74A}" destId="{EA565543-6267-E14E-8A6A-1A7D31CCC83D}" srcOrd="0" destOrd="0" presId="urn:microsoft.com/office/officeart/2005/8/layout/radial6"/>
    <dgm:cxn modelId="{A18D4467-A600-A841-B264-F2EA8A551899}" srcId="{7EE9C1FC-4BD4-C64B-97B7-C9F06CC6356E}" destId="{6E42C55B-673C-BC48-B6B8-5B1C67540FCF}" srcOrd="2" destOrd="0" parTransId="{A09D92A3-AD55-1346-BD9B-FEA33D6286EA}" sibTransId="{50F888C2-D313-1848-9E2F-1F5A145F0C85}"/>
    <dgm:cxn modelId="{998B4F72-A93F-C244-B5D4-77ACCA98B7FC}" type="presOf" srcId="{6E42C55B-673C-BC48-B6B8-5B1C67540FCF}" destId="{0A7024F1-1AEB-DC41-9A5B-9A5CE015C550}" srcOrd="0" destOrd="0" presId="urn:microsoft.com/office/officeart/2005/8/layout/radial6"/>
    <dgm:cxn modelId="{F956A68B-B8C1-8F44-82C0-8948F65C47D7}" srcId="{312FE0F7-EC0C-3A45-976B-381F83270159}" destId="{7EE9C1FC-4BD4-C64B-97B7-C9F06CC6356E}" srcOrd="0" destOrd="0" parTransId="{9885D4EE-B572-3D4A-A089-5FFD96DBF231}" sibTransId="{FFA2FEA5-381C-1A48-8B12-0D5247C64B5B}"/>
    <dgm:cxn modelId="{B6BE18AF-60EB-A94F-8529-DC729C2A5D75}" type="presOf" srcId="{CF3007D9-5F37-0342-91F2-96179838AE41}" destId="{88099574-1430-9648-B0E8-8C584F1326A8}" srcOrd="0" destOrd="0" presId="urn:microsoft.com/office/officeart/2005/8/layout/radial6"/>
    <dgm:cxn modelId="{A448B6BD-F524-DE41-8E98-18EEB5AF437D}" type="presOf" srcId="{619286C0-9F2E-1F48-A9C4-3B4DF88D36C7}" destId="{36262CED-578B-DB47-B2F1-61A3D5CBB6F9}" srcOrd="0" destOrd="0" presId="urn:microsoft.com/office/officeart/2005/8/layout/radial6"/>
    <dgm:cxn modelId="{729021CB-5471-2243-9FBF-1B6278F2B1BE}" type="presOf" srcId="{22641B18-F9BA-0048-9E92-34F2F327C135}" destId="{A5F841A9-D0AF-5B49-BE36-CC446F9CBD8E}" srcOrd="0" destOrd="0" presId="urn:microsoft.com/office/officeart/2005/8/layout/radial6"/>
    <dgm:cxn modelId="{E87449CB-E90D-3F41-9605-53B4DCDBDD7A}" type="presOf" srcId="{7EE9C1FC-4BD4-C64B-97B7-C9F06CC6356E}" destId="{1818A74A-B7CC-B14C-A683-47BD78873856}" srcOrd="0" destOrd="0" presId="urn:microsoft.com/office/officeart/2005/8/layout/radial6"/>
    <dgm:cxn modelId="{602145CD-284B-D046-8E6E-C58BD7C92C4C}" type="presOf" srcId="{50F888C2-D313-1848-9E2F-1F5A145F0C85}" destId="{80C19280-70A7-8C4B-A87F-90CD8B71EEA7}" srcOrd="0" destOrd="0" presId="urn:microsoft.com/office/officeart/2005/8/layout/radial6"/>
    <dgm:cxn modelId="{80753A43-6DA1-204B-BF05-741419475FC1}" type="presParOf" srcId="{DDD74D1A-B9D4-CE44-A880-E091541EC49A}" destId="{1818A74A-B7CC-B14C-A683-47BD78873856}" srcOrd="0" destOrd="0" presId="urn:microsoft.com/office/officeart/2005/8/layout/radial6"/>
    <dgm:cxn modelId="{A53E21F5-5B35-E74F-ACCB-61E6825CFC77}" type="presParOf" srcId="{DDD74D1A-B9D4-CE44-A880-E091541EC49A}" destId="{2049AEBD-18C8-EF48-84D6-C3D3E37C1616}" srcOrd="1" destOrd="0" presId="urn:microsoft.com/office/officeart/2005/8/layout/radial6"/>
    <dgm:cxn modelId="{C4DA62B8-F39F-2848-90B5-F21ED2CA3D49}" type="presParOf" srcId="{DDD74D1A-B9D4-CE44-A880-E091541EC49A}" destId="{EF3B5C62-AC2B-794A-9487-DC7E7435632B}" srcOrd="2" destOrd="0" presId="urn:microsoft.com/office/officeart/2005/8/layout/radial6"/>
    <dgm:cxn modelId="{FE5397AA-08C1-5B43-841F-F1E94B377EE1}" type="presParOf" srcId="{DDD74D1A-B9D4-CE44-A880-E091541EC49A}" destId="{C323C030-C367-824A-8B78-9E6E6636787E}" srcOrd="3" destOrd="0" presId="urn:microsoft.com/office/officeart/2005/8/layout/radial6"/>
    <dgm:cxn modelId="{1D82A567-2458-7B4F-8014-904F1CD4E1BA}" type="presParOf" srcId="{DDD74D1A-B9D4-CE44-A880-E091541EC49A}" destId="{36262CED-578B-DB47-B2F1-61A3D5CBB6F9}" srcOrd="4" destOrd="0" presId="urn:microsoft.com/office/officeart/2005/8/layout/radial6"/>
    <dgm:cxn modelId="{0AF88651-45FF-7142-A51D-47FA2B929AC2}" type="presParOf" srcId="{DDD74D1A-B9D4-CE44-A880-E091541EC49A}" destId="{513D2598-C36C-4940-AC60-56BB1BD5206B}" srcOrd="5" destOrd="0" presId="urn:microsoft.com/office/officeart/2005/8/layout/radial6"/>
    <dgm:cxn modelId="{B072B0BE-698E-7D48-8C4F-01089FA3BB94}" type="presParOf" srcId="{DDD74D1A-B9D4-CE44-A880-E091541EC49A}" destId="{A8A27156-04E7-B140-A350-D27DDE7EFAA1}" srcOrd="6" destOrd="0" presId="urn:microsoft.com/office/officeart/2005/8/layout/radial6"/>
    <dgm:cxn modelId="{2BDDEAD9-9652-3C40-9AB9-CCBFA187680A}" type="presParOf" srcId="{DDD74D1A-B9D4-CE44-A880-E091541EC49A}" destId="{0A7024F1-1AEB-DC41-9A5B-9A5CE015C550}" srcOrd="7" destOrd="0" presId="urn:microsoft.com/office/officeart/2005/8/layout/radial6"/>
    <dgm:cxn modelId="{E9A27212-B9D5-754B-A66C-BBEA1B4DA55C}" type="presParOf" srcId="{DDD74D1A-B9D4-CE44-A880-E091541EC49A}" destId="{39A0A89C-9D2E-AC49-9E8D-8B5FB2EC2600}" srcOrd="8" destOrd="0" presId="urn:microsoft.com/office/officeart/2005/8/layout/radial6"/>
    <dgm:cxn modelId="{7D0B428C-AA3D-C449-875C-CE2B9FBAB780}" type="presParOf" srcId="{DDD74D1A-B9D4-CE44-A880-E091541EC49A}" destId="{80C19280-70A7-8C4B-A87F-90CD8B71EEA7}" srcOrd="9" destOrd="0" presId="urn:microsoft.com/office/officeart/2005/8/layout/radial6"/>
    <dgm:cxn modelId="{66E1A88B-B1AD-944B-9DE4-AAE366F31E37}" type="presParOf" srcId="{DDD74D1A-B9D4-CE44-A880-E091541EC49A}" destId="{A4D176F3-9866-9649-957D-4FC0069C9D3D}" srcOrd="10" destOrd="0" presId="urn:microsoft.com/office/officeart/2005/8/layout/radial6"/>
    <dgm:cxn modelId="{6CAB9E99-B710-754A-87AA-D95577DE2AF1}" type="presParOf" srcId="{DDD74D1A-B9D4-CE44-A880-E091541EC49A}" destId="{D635F5DF-0123-9F4D-BB20-27F82AB0DC08}" srcOrd="11" destOrd="0" presId="urn:microsoft.com/office/officeart/2005/8/layout/radial6"/>
    <dgm:cxn modelId="{89FEE187-8372-2647-95D8-FAF35B3EC61D}" type="presParOf" srcId="{DDD74D1A-B9D4-CE44-A880-E091541EC49A}" destId="{88099574-1430-9648-B0E8-8C584F1326A8}" srcOrd="12" destOrd="0" presId="urn:microsoft.com/office/officeart/2005/8/layout/radial6"/>
    <dgm:cxn modelId="{82E44A15-37BF-FF4F-81BD-E2B9D8C79AC9}" type="presParOf" srcId="{DDD74D1A-B9D4-CE44-A880-E091541EC49A}" destId="{EA565543-6267-E14E-8A6A-1A7D31CCC83D}" srcOrd="13" destOrd="0" presId="urn:microsoft.com/office/officeart/2005/8/layout/radial6"/>
    <dgm:cxn modelId="{F0A07E6A-3902-5842-9AEA-5A59C2694003}" type="presParOf" srcId="{DDD74D1A-B9D4-CE44-A880-E091541EC49A}" destId="{CB7BD4F0-1303-534C-9F68-4964E90C8625}" srcOrd="14" destOrd="0" presId="urn:microsoft.com/office/officeart/2005/8/layout/radial6"/>
    <dgm:cxn modelId="{EA0439A4-487A-9B4B-9A93-A3F6869836CC}" type="presParOf" srcId="{DDD74D1A-B9D4-CE44-A880-E091541EC49A}" destId="{A5F841A9-D0AF-5B49-BE36-CC446F9CBD8E}" srcOrd="15" destOrd="0" presId="urn:microsoft.com/office/officeart/2005/8/layout/radial6"/>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F841A9-D0AF-5B49-BE36-CC446F9CBD8E}">
      <dsp:nvSpPr>
        <dsp:cNvPr id="0" name=""/>
        <dsp:cNvSpPr/>
      </dsp:nvSpPr>
      <dsp:spPr>
        <a:xfrm>
          <a:off x="442897" y="190432"/>
          <a:ext cx="1375866" cy="1375866"/>
        </a:xfrm>
        <a:prstGeom prst="blockArc">
          <a:avLst>
            <a:gd name="adj1" fmla="val 11833822"/>
            <a:gd name="adj2" fmla="val 16827036"/>
            <a:gd name="adj3" fmla="val 4643"/>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88099574-1430-9648-B0E8-8C584F1326A8}">
      <dsp:nvSpPr>
        <dsp:cNvPr id="0" name=""/>
        <dsp:cNvSpPr/>
      </dsp:nvSpPr>
      <dsp:spPr>
        <a:xfrm>
          <a:off x="441794" y="193956"/>
          <a:ext cx="1375866" cy="1375866"/>
        </a:xfrm>
        <a:prstGeom prst="blockArc">
          <a:avLst>
            <a:gd name="adj1" fmla="val 7853123"/>
            <a:gd name="adj2" fmla="val 11852715"/>
            <a:gd name="adj3" fmla="val 4643"/>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80C19280-70A7-8C4B-A87F-90CD8B71EEA7}">
      <dsp:nvSpPr>
        <dsp:cNvPr id="0" name=""/>
        <dsp:cNvSpPr/>
      </dsp:nvSpPr>
      <dsp:spPr>
        <a:xfrm>
          <a:off x="559200" y="326449"/>
          <a:ext cx="1375866" cy="1375866"/>
        </a:xfrm>
        <a:prstGeom prst="blockArc">
          <a:avLst>
            <a:gd name="adj1" fmla="val 2165705"/>
            <a:gd name="adj2" fmla="val 8761428"/>
            <a:gd name="adj3" fmla="val 4643"/>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A8A27156-04E7-B140-A350-D27DDE7EFAA1}">
      <dsp:nvSpPr>
        <dsp:cNvPr id="0" name=""/>
        <dsp:cNvSpPr/>
      </dsp:nvSpPr>
      <dsp:spPr>
        <a:xfrm>
          <a:off x="642566" y="60667"/>
          <a:ext cx="1607782" cy="1457208"/>
        </a:xfrm>
        <a:prstGeom prst="blockArc">
          <a:avLst>
            <a:gd name="adj1" fmla="val 20995367"/>
            <a:gd name="adj2" fmla="val 3922054"/>
            <a:gd name="adj3" fmla="val 4643"/>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C323C030-C367-824A-8B78-9E6E6636787E}">
      <dsp:nvSpPr>
        <dsp:cNvPr id="0" name=""/>
        <dsp:cNvSpPr/>
      </dsp:nvSpPr>
      <dsp:spPr>
        <a:xfrm>
          <a:off x="921013" y="119284"/>
          <a:ext cx="1375866" cy="1375866"/>
        </a:xfrm>
        <a:prstGeom prst="blockArc">
          <a:avLst>
            <a:gd name="adj1" fmla="val 14808194"/>
            <a:gd name="adj2" fmla="val 20808611"/>
            <a:gd name="adj3" fmla="val 4643"/>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1818A74A-B7CC-B14C-A683-47BD78873856}">
      <dsp:nvSpPr>
        <dsp:cNvPr id="0" name=""/>
        <dsp:cNvSpPr/>
      </dsp:nvSpPr>
      <dsp:spPr>
        <a:xfrm>
          <a:off x="935855" y="572651"/>
          <a:ext cx="633722" cy="633722"/>
        </a:xfrm>
        <a:prstGeom prst="ellipse">
          <a:avLst/>
        </a:prstGeom>
        <a:solidFill>
          <a:srgbClr val="FF0000"/>
        </a:solidFill>
        <a:ln w="34925">
          <a:noFill/>
        </a:ln>
        <a:effectLst>
          <a:softEdge rad="241300"/>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ES" sz="1200" kern="1200">
              <a:solidFill>
                <a:schemeClr val="bg1"/>
              </a:solidFill>
              <a:latin typeface="Bradley Hand" pitchFamily="2" charset="77"/>
              <a:cs typeface="Arial" panose="020B0604020202020204" pitchFamily="34" charset="0"/>
            </a:rPr>
            <a:t>ÈXIT</a:t>
          </a:r>
        </a:p>
      </dsp:txBody>
      <dsp:txXfrm>
        <a:off x="1028661" y="665457"/>
        <a:ext cx="448110" cy="448110"/>
      </dsp:txXfrm>
    </dsp:sp>
    <dsp:sp modelId="{2049AEBD-18C8-EF48-84D6-C3D3E37C1616}">
      <dsp:nvSpPr>
        <dsp:cNvPr id="0" name=""/>
        <dsp:cNvSpPr/>
      </dsp:nvSpPr>
      <dsp:spPr>
        <a:xfrm>
          <a:off x="552583" y="6055"/>
          <a:ext cx="1400268" cy="422986"/>
        </a:xfrm>
        <a:prstGeom prst="ellipse">
          <a:avLst/>
        </a:prstGeom>
        <a:solidFill>
          <a:schemeClr val="accent5">
            <a:lumMod val="40000"/>
            <a:lumOff val="6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ES" sz="600" kern="1200">
              <a:solidFill>
                <a:srgbClr val="002060"/>
              </a:solidFill>
              <a:latin typeface="Arial" panose="020B0604020202020204" pitchFamily="34" charset="0"/>
              <a:cs typeface="Arial" panose="020B0604020202020204" pitchFamily="34" charset="0"/>
            </a:rPr>
            <a:t>INTERNACIONALITZACIÓ</a:t>
          </a:r>
        </a:p>
      </dsp:txBody>
      <dsp:txXfrm>
        <a:off x="757648" y="68000"/>
        <a:ext cx="990138" cy="299096"/>
      </dsp:txXfrm>
    </dsp:sp>
    <dsp:sp modelId="{36262CED-578B-DB47-B2F1-61A3D5CBB6F9}">
      <dsp:nvSpPr>
        <dsp:cNvPr id="0" name=""/>
        <dsp:cNvSpPr/>
      </dsp:nvSpPr>
      <dsp:spPr>
        <a:xfrm>
          <a:off x="1667866" y="460059"/>
          <a:ext cx="1007535" cy="443605"/>
        </a:xfrm>
        <a:prstGeom prst="ellipse">
          <a:avLst/>
        </a:prstGeom>
        <a:solidFill>
          <a:schemeClr val="accent2">
            <a:lumMod val="40000"/>
            <a:lumOff val="6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ES" sz="600" kern="1200">
              <a:solidFill>
                <a:srgbClr val="002060"/>
              </a:solidFill>
              <a:latin typeface="Arial" panose="020B0604020202020204" pitchFamily="34" charset="0"/>
              <a:cs typeface="Arial" panose="020B0604020202020204" pitchFamily="34" charset="0"/>
            </a:rPr>
            <a:t>ESPECIALITZACIÓ</a:t>
          </a:r>
        </a:p>
      </dsp:txBody>
      <dsp:txXfrm>
        <a:off x="1815416" y="525023"/>
        <a:ext cx="712435" cy="313677"/>
      </dsp:txXfrm>
    </dsp:sp>
    <dsp:sp modelId="{0A7024F1-1AEB-DC41-9A5B-9A5CE015C550}">
      <dsp:nvSpPr>
        <dsp:cNvPr id="0" name=""/>
        <dsp:cNvSpPr/>
      </dsp:nvSpPr>
      <dsp:spPr>
        <a:xfrm>
          <a:off x="1386508" y="1188451"/>
          <a:ext cx="807198" cy="443605"/>
        </a:xfrm>
        <a:prstGeom prst="ellipse">
          <a:avLst/>
        </a:prstGeom>
        <a:solidFill>
          <a:schemeClr val="accent6">
            <a:lumMod val="40000"/>
            <a:lumOff val="6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ES" sz="600" kern="1200">
              <a:solidFill>
                <a:srgbClr val="002060"/>
              </a:solidFill>
              <a:latin typeface="Arial" panose="020B0604020202020204" pitchFamily="34" charset="0"/>
              <a:cs typeface="Arial" panose="020B0604020202020204" pitchFamily="34" charset="0"/>
            </a:rPr>
            <a:t>ESTABILITAT FINANCERA</a:t>
          </a:r>
        </a:p>
      </dsp:txBody>
      <dsp:txXfrm>
        <a:off x="1504719" y="1253415"/>
        <a:ext cx="570776" cy="313677"/>
      </dsp:txXfrm>
    </dsp:sp>
    <dsp:sp modelId="{A4D176F3-9866-9649-957D-4FC0069C9D3D}">
      <dsp:nvSpPr>
        <dsp:cNvPr id="0" name=""/>
        <dsp:cNvSpPr/>
      </dsp:nvSpPr>
      <dsp:spPr>
        <a:xfrm>
          <a:off x="291610" y="1168105"/>
          <a:ext cx="796569" cy="443605"/>
        </a:xfrm>
        <a:prstGeom prst="ellipse">
          <a:avLst/>
        </a:prstGeom>
        <a:solidFill>
          <a:schemeClr val="accent4">
            <a:lumMod val="40000"/>
            <a:lumOff val="6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ES" sz="600" kern="1200">
              <a:solidFill>
                <a:srgbClr val="002060"/>
              </a:solidFill>
              <a:latin typeface="Arial" panose="020B0604020202020204" pitchFamily="34" charset="0"/>
              <a:cs typeface="Arial" panose="020B0604020202020204" pitchFamily="34" charset="0"/>
            </a:rPr>
            <a:t>RENDIBILITAT</a:t>
          </a:r>
        </a:p>
      </dsp:txBody>
      <dsp:txXfrm>
        <a:off x="408265" y="1233069"/>
        <a:ext cx="563259" cy="313677"/>
      </dsp:txXfrm>
    </dsp:sp>
    <dsp:sp modelId="{EA565543-6267-E14E-8A6A-1A7D31CCC83D}">
      <dsp:nvSpPr>
        <dsp:cNvPr id="0" name=""/>
        <dsp:cNvSpPr/>
      </dsp:nvSpPr>
      <dsp:spPr>
        <a:xfrm>
          <a:off x="180891" y="457517"/>
          <a:ext cx="616265" cy="443605"/>
        </a:xfrm>
        <a:prstGeom prst="ellipse">
          <a:avLst/>
        </a:prstGeom>
        <a:solidFill>
          <a:srgbClr val="FFFF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ES" sz="600" kern="1200">
              <a:solidFill>
                <a:srgbClr val="002060"/>
              </a:solidFill>
              <a:latin typeface="Arial" panose="020B0604020202020204" pitchFamily="34" charset="0"/>
              <a:cs typeface="Arial" panose="020B0604020202020204" pitchFamily="34" charset="0"/>
            </a:rPr>
            <a:t>R+D</a:t>
          </a:r>
        </a:p>
      </dsp:txBody>
      <dsp:txXfrm>
        <a:off x="271141" y="522481"/>
        <a:ext cx="435765" cy="3136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avi</b:Tag>
    <b:SourceType>InternetSite</b:SourceType>
    <b:Guid>{6F4336BA-D750-BA4C-8973-DAD640B87A6F}</b:Guid>
    <b:Title>avicultura</b:Title>
    <b:URL>https://avicultura.info/ranking-de-las-20-principales-empresas-de-salud-animal-durante-2019/</b:URL>
    <b:RefOrder>1</b:RefOrder>
  </b:Source>
</b:Sources>
</file>

<file path=customXml/itemProps1.xml><?xml version="1.0" encoding="utf-8"?>
<ds:datastoreItem xmlns:ds="http://schemas.openxmlformats.org/officeDocument/2006/customXml" ds:itemID="{604FDCC2-A362-BE48-A2C9-63742DF6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7749</TotalTime>
  <Pages>52</Pages>
  <Words>17721</Words>
  <Characters>97471</Characters>
  <Application>Microsoft Office Word</Application>
  <DocSecurity>0</DocSecurity>
  <Lines>812</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casastorner@gmail.com</dc:creator>
  <cp:keywords/>
  <dc:description/>
  <cp:lastModifiedBy>casastorner@gmail.com</cp:lastModifiedBy>
  <cp:revision>214</cp:revision>
  <cp:lastPrinted>2021-05-29T14:19:00Z</cp:lastPrinted>
  <dcterms:created xsi:type="dcterms:W3CDTF">2021-02-18T10:56:00Z</dcterms:created>
  <dcterms:modified xsi:type="dcterms:W3CDTF">2021-08-13T09:54:00Z</dcterms:modified>
</cp:coreProperties>
</file>